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3DAF3B8E"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10</w:t>
      </w:r>
      <w:r w:rsidR="004F6F00">
        <w:rPr>
          <w:bCs w:val="0"/>
          <w:sz w:val="28"/>
        </w:rPr>
        <w:t>bis-e</w:t>
      </w:r>
      <w:r w:rsidR="00197EC1" w:rsidRPr="00FC6EBE">
        <w:rPr>
          <w:bCs w:val="0"/>
          <w:sz w:val="28"/>
        </w:rPr>
        <w:tab/>
      </w:r>
      <w:r w:rsidR="00D85D53" w:rsidRPr="00D85D53">
        <w:rPr>
          <w:bCs w:val="0"/>
          <w:sz w:val="28"/>
        </w:rPr>
        <w:t>R1-22</w:t>
      </w:r>
      <w:r w:rsidR="00FB71B5" w:rsidRPr="00FB71B5">
        <w:rPr>
          <w:bCs w:val="0"/>
          <w:sz w:val="28"/>
        </w:rPr>
        <w:t>09812</w:t>
      </w:r>
    </w:p>
    <w:p w14:paraId="0C1BBD2C" w14:textId="17A06D97" w:rsidR="00281A16" w:rsidRPr="00912280" w:rsidRDefault="004F6F00" w:rsidP="00281A16">
      <w:pPr>
        <w:pStyle w:val="a5"/>
        <w:rPr>
          <w:bCs w:val="0"/>
          <w:sz w:val="28"/>
        </w:rPr>
      </w:pPr>
      <w:r>
        <w:rPr>
          <w:bCs w:val="0"/>
          <w:sz w:val="28"/>
          <w:szCs w:val="24"/>
          <w:lang w:eastAsia="ko-KR"/>
        </w:rPr>
        <w:t>e-Meeting</w:t>
      </w:r>
      <w:r w:rsidR="00747980">
        <w:rPr>
          <w:bCs w:val="0"/>
          <w:sz w:val="28"/>
          <w:szCs w:val="24"/>
          <w:lang w:eastAsia="ko-KR"/>
        </w:rPr>
        <w:t xml:space="preserve">, </w:t>
      </w:r>
      <w:r>
        <w:rPr>
          <w:bCs w:val="0"/>
          <w:sz w:val="28"/>
          <w:szCs w:val="24"/>
          <w:lang w:eastAsia="ko-KR"/>
        </w:rPr>
        <w:t>October 10</w:t>
      </w:r>
      <w:r>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Pr>
          <w:bCs w:val="0"/>
          <w:sz w:val="28"/>
          <w:szCs w:val="24"/>
          <w:lang w:eastAsia="ko-KR"/>
        </w:rPr>
        <w:t>19</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4947097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w:t>
      </w:r>
      <w:r w:rsidR="00056AF3">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4813FE9"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56AF3" w:rsidRPr="00056AF3">
        <w:rPr>
          <w:rFonts w:ascii="Arial" w:hAnsi="Arial"/>
          <w:sz w:val="24"/>
        </w:rPr>
        <w:t>Discussion on other aspects for 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08C89C19" w14:textId="5DF9A35F" w:rsidR="00B7449F" w:rsidRDefault="00071AA2" w:rsidP="005948B6">
      <w:pPr>
        <w:rPr>
          <w:lang w:val="en-US" w:eastAsia="ko-KR"/>
        </w:rPr>
      </w:pPr>
      <w:r>
        <w:rPr>
          <w:lang w:val="en-US" w:eastAsia="ko-KR"/>
        </w:rPr>
        <w:t>In RAN#9</w:t>
      </w:r>
      <w:r w:rsidR="00B7449F">
        <w:rPr>
          <w:lang w:val="en-US" w:eastAsia="ko-KR"/>
        </w:rPr>
        <w:t>7</w:t>
      </w:r>
      <w:r>
        <w:rPr>
          <w:lang w:val="en-US" w:eastAsia="ko-KR"/>
        </w:rPr>
        <w:t xml:space="preserve">-e meeting, a </w:t>
      </w:r>
      <w:r w:rsidR="00B7449F">
        <w:rPr>
          <w:lang w:val="en-US" w:eastAsia="ko-KR"/>
        </w:rPr>
        <w:t>work</w:t>
      </w:r>
      <w:r>
        <w:rPr>
          <w:lang w:val="en-US" w:eastAsia="ko-KR"/>
        </w:rPr>
        <w:t xml:space="preserve"> item on NR network-controlled repeaters is approved and the corresponding description is provided in [1].</w:t>
      </w:r>
      <w:r w:rsidR="005948B6">
        <w:rPr>
          <w:lang w:val="en-US" w:eastAsia="ko-KR"/>
        </w:rPr>
        <w:t xml:space="preserve"> </w:t>
      </w:r>
      <w:r w:rsidR="00B7449F" w:rsidRPr="00B7449F">
        <w:rPr>
          <w:lang w:val="en-US" w:eastAsia="ko-KR"/>
        </w:rPr>
        <w:t>According to the WID, objectives of the work item are as follows in RAN1 perspective.</w:t>
      </w:r>
    </w:p>
    <w:tbl>
      <w:tblPr>
        <w:tblStyle w:val="aa"/>
        <w:tblW w:w="0" w:type="auto"/>
        <w:tblLook w:val="04A0" w:firstRow="1" w:lastRow="0" w:firstColumn="1" w:lastColumn="0" w:noHBand="0" w:noVBand="1"/>
      </w:tblPr>
      <w:tblGrid>
        <w:gridCol w:w="9629"/>
      </w:tblGrid>
      <w:tr w:rsidR="00B7449F" w14:paraId="6662A031" w14:textId="77777777" w:rsidTr="00B7449F">
        <w:tc>
          <w:tcPr>
            <w:tcW w:w="9629" w:type="dxa"/>
          </w:tcPr>
          <w:p w14:paraId="5D1B6540" w14:textId="77777777" w:rsidR="00B7449F" w:rsidRPr="00B7449F" w:rsidRDefault="00B7449F" w:rsidP="00C2553F">
            <w:pPr>
              <w:spacing w:beforeLines="50" w:afterLines="50"/>
              <w:rPr>
                <w:sz w:val="20"/>
              </w:rPr>
            </w:pPr>
            <w:r w:rsidRPr="00B7449F">
              <w:rPr>
                <w:sz w:val="20"/>
              </w:rPr>
              <w:t>Specify the signalling and behavior of the following side control information for controlling the NCR-Fwd [RAN1, RAN2]</w:t>
            </w:r>
          </w:p>
          <w:p w14:paraId="7F0841A1" w14:textId="77777777" w:rsidR="00B7449F" w:rsidRPr="00B7449F" w:rsidRDefault="00B7449F" w:rsidP="00C2553F">
            <w:pPr>
              <w:numPr>
                <w:ilvl w:val="0"/>
                <w:numId w:val="27"/>
              </w:numPr>
              <w:spacing w:beforeLines="50" w:afterLines="50"/>
              <w:jc w:val="left"/>
              <w:rPr>
                <w:sz w:val="20"/>
              </w:rPr>
            </w:pPr>
            <w:r w:rsidRPr="00B7449F">
              <w:rPr>
                <w:sz w:val="20"/>
              </w:rPr>
              <w:t>Beamforming</w:t>
            </w:r>
          </w:p>
          <w:p w14:paraId="7ACAC794" w14:textId="77777777" w:rsidR="00B7449F" w:rsidRPr="00B7449F" w:rsidRDefault="00B7449F" w:rsidP="00C2553F">
            <w:pPr>
              <w:numPr>
                <w:ilvl w:val="0"/>
                <w:numId w:val="27"/>
              </w:numPr>
              <w:spacing w:beforeLines="50" w:afterLines="50"/>
              <w:jc w:val="left"/>
              <w:rPr>
                <w:sz w:val="20"/>
              </w:rPr>
            </w:pPr>
            <w:r w:rsidRPr="00B7449F">
              <w:rPr>
                <w:sz w:val="20"/>
              </w:rPr>
              <w:t>UL-DL TDD operation</w:t>
            </w:r>
          </w:p>
          <w:p w14:paraId="50576FFA" w14:textId="77777777" w:rsidR="00B7449F" w:rsidRPr="00B7449F" w:rsidRDefault="00B7449F" w:rsidP="00C2553F">
            <w:pPr>
              <w:numPr>
                <w:ilvl w:val="0"/>
                <w:numId w:val="27"/>
              </w:numPr>
              <w:spacing w:beforeLines="50" w:afterLines="50"/>
              <w:jc w:val="left"/>
              <w:rPr>
                <w:sz w:val="20"/>
              </w:rPr>
            </w:pPr>
            <w:r w:rsidRPr="00B7449F">
              <w:rPr>
                <w:sz w:val="20"/>
              </w:rPr>
              <w:t>ON-OFF information</w:t>
            </w:r>
          </w:p>
          <w:p w14:paraId="456FA35C" w14:textId="77777777" w:rsidR="00B7449F" w:rsidRPr="00B7449F" w:rsidRDefault="00B7449F" w:rsidP="00C2553F">
            <w:pPr>
              <w:pStyle w:val="ac"/>
              <w:overflowPunct/>
              <w:autoSpaceDE/>
              <w:autoSpaceDN/>
              <w:adjustRightInd/>
              <w:spacing w:beforeLines="50" w:afterLines="50"/>
              <w:ind w:left="880"/>
              <w:textAlignment w:val="auto"/>
              <w:rPr>
                <w:sz w:val="20"/>
                <w:lang w:val="en-US"/>
              </w:rPr>
            </w:pPr>
            <w:r w:rsidRPr="00B7449F">
              <w:rPr>
                <w:sz w:val="20"/>
                <w:lang w:val="en-US"/>
              </w:rPr>
              <w:t>Note: Power control aspect will be checked in RAN#98e.</w:t>
            </w:r>
          </w:p>
          <w:p w14:paraId="66DADC95" w14:textId="77777777" w:rsidR="00B7449F" w:rsidRPr="00B7449F" w:rsidRDefault="00B7449F" w:rsidP="00C2553F">
            <w:pPr>
              <w:spacing w:beforeLines="50" w:afterLines="50"/>
              <w:rPr>
                <w:color w:val="FF0000"/>
                <w:sz w:val="20"/>
                <w:lang w:val="en-US"/>
              </w:rPr>
            </w:pPr>
          </w:p>
          <w:p w14:paraId="754D2A00" w14:textId="77777777" w:rsidR="00B7449F" w:rsidRPr="00B7449F" w:rsidRDefault="00B7449F" w:rsidP="00C2553F">
            <w:pPr>
              <w:spacing w:beforeLines="50" w:afterLines="50"/>
              <w:rPr>
                <w:sz w:val="20"/>
              </w:rPr>
            </w:pPr>
            <w:r w:rsidRPr="00B7449F">
              <w:rPr>
                <w:sz w:val="20"/>
              </w:rPr>
              <w:t>Specify control plane signalling and procedures [RAN2, RAN1]</w:t>
            </w:r>
          </w:p>
          <w:p w14:paraId="2C513517" w14:textId="77777777" w:rsidR="00B7449F" w:rsidRPr="00B7449F" w:rsidRDefault="00B7449F" w:rsidP="00C2553F">
            <w:pPr>
              <w:numPr>
                <w:ilvl w:val="0"/>
                <w:numId w:val="27"/>
              </w:numPr>
              <w:spacing w:beforeLines="50" w:afterLines="50"/>
              <w:jc w:val="left"/>
              <w:rPr>
                <w:sz w:val="20"/>
              </w:rPr>
            </w:pPr>
            <w:r w:rsidRPr="00B7449F">
              <w:rPr>
                <w:sz w:val="20"/>
              </w:rPr>
              <w:t>The configuration of signalling for side control information indication</w:t>
            </w:r>
          </w:p>
          <w:p w14:paraId="1B7EB140" w14:textId="3683E2AA" w:rsidR="00B7449F" w:rsidRPr="00B7449F" w:rsidRDefault="00B7449F" w:rsidP="00B7449F">
            <w:pPr>
              <w:numPr>
                <w:ilvl w:val="1"/>
                <w:numId w:val="27"/>
              </w:numPr>
              <w:spacing w:beforeLines="50" w:before="120" w:afterLines="50"/>
              <w:jc w:val="left"/>
              <w:rPr>
                <w:sz w:val="20"/>
              </w:rPr>
            </w:pPr>
            <w:r w:rsidRPr="00B7449F">
              <w:rPr>
                <w:sz w:val="20"/>
              </w:rPr>
              <w:t>NOTE: Down-selection of solutions in section 7.2 of TR 38.867 is needed</w:t>
            </w:r>
          </w:p>
        </w:tc>
      </w:tr>
    </w:tbl>
    <w:p w14:paraId="4853E77D" w14:textId="77777777" w:rsidR="00B7449F" w:rsidRDefault="00B7449F" w:rsidP="005948B6">
      <w:pPr>
        <w:rPr>
          <w:lang w:val="en-US" w:eastAsia="ko-KR"/>
        </w:rPr>
      </w:pPr>
      <w:bookmarkStart w:id="3" w:name="_GoBack"/>
      <w:bookmarkEnd w:id="3"/>
    </w:p>
    <w:p w14:paraId="7572521E" w14:textId="62ECC842" w:rsidR="007D56AF" w:rsidRDefault="00B7449F" w:rsidP="00B7449F">
      <w:pPr>
        <w:rPr>
          <w:lang w:eastAsia="ko-KR"/>
        </w:rPr>
      </w:pPr>
      <w:r>
        <w:rPr>
          <w:lang w:eastAsia="ko-KR"/>
        </w:rPr>
        <w:t xml:space="preserve">In this contribution, we discuss </w:t>
      </w:r>
      <w:r w:rsidR="007D56AF">
        <w:rPr>
          <w:lang w:eastAsia="ko-KR"/>
        </w:rPr>
        <w:t>o</w:t>
      </w:r>
      <w:r w:rsidR="007D56AF" w:rsidRPr="007D56AF">
        <w:rPr>
          <w:lang w:eastAsia="ko-KR"/>
        </w:rPr>
        <w:t>ther aspects</w:t>
      </w:r>
      <w:r w:rsidR="007D56AF">
        <w:rPr>
          <w:lang w:eastAsia="ko-KR"/>
        </w:rPr>
        <w:t xml:space="preserve"> for NCR</w:t>
      </w:r>
      <w:r w:rsidR="007D56AF" w:rsidRPr="007D56AF">
        <w:rPr>
          <w:lang w:eastAsia="ko-KR"/>
        </w:rPr>
        <w:t xml:space="preserve"> including control plane signalling and procedures relevant to RAN1</w:t>
      </w:r>
    </w:p>
    <w:p w14:paraId="600252B4" w14:textId="77777777" w:rsidR="00CE304C" w:rsidRPr="007D56AF" w:rsidRDefault="00CE304C" w:rsidP="000A67CA">
      <w:pPr>
        <w:rPr>
          <w:lang w:eastAsia="ko-KR"/>
        </w:rPr>
      </w:pPr>
    </w:p>
    <w:p w14:paraId="66C84697" w14:textId="03B24F2C" w:rsidR="00B7449F" w:rsidRPr="00B7449F" w:rsidRDefault="007D56AF" w:rsidP="00881572">
      <w:pPr>
        <w:pStyle w:val="1"/>
        <w:rPr>
          <w:rFonts w:cs="Arial"/>
        </w:rPr>
      </w:pPr>
      <w:r>
        <w:t>Discussion</w:t>
      </w:r>
    </w:p>
    <w:p w14:paraId="7B4E6F1A" w14:textId="12B235A1" w:rsidR="007D56AF" w:rsidRDefault="00790D05" w:rsidP="00164DDE">
      <w:pPr>
        <w:rPr>
          <w:rFonts w:eastAsia="바탕체"/>
          <w:lang w:val="en-US" w:eastAsia="ko-KR"/>
        </w:rPr>
      </w:pPr>
      <w:r>
        <w:rPr>
          <w:rFonts w:eastAsia="바탕체"/>
          <w:lang w:val="en-US" w:eastAsia="ko-KR"/>
        </w:rPr>
        <w:t xml:space="preserve">According to </w:t>
      </w:r>
      <w:r w:rsidR="007D56AF">
        <w:rPr>
          <w:rFonts w:eastAsia="바탕체" w:hint="eastAsia"/>
          <w:lang w:val="en-US" w:eastAsia="ko-KR"/>
        </w:rPr>
        <w:t>TR 38.867</w:t>
      </w:r>
      <w:r>
        <w:rPr>
          <w:rFonts w:eastAsia="바탕체"/>
          <w:lang w:val="en-US" w:eastAsia="ko-KR"/>
        </w:rPr>
        <w:t xml:space="preserve">, </w:t>
      </w:r>
      <w:r w:rsidR="007D56AF">
        <w:rPr>
          <w:rFonts w:eastAsia="바탕체"/>
          <w:lang w:val="en-US" w:eastAsia="ko-KR"/>
        </w:rPr>
        <w:t>NCT-MT</w:t>
      </w:r>
      <w:r>
        <w:rPr>
          <w:rFonts w:eastAsia="바탕체"/>
          <w:lang w:val="en-US" w:eastAsia="ko-KR"/>
        </w:rPr>
        <w:t xml:space="preserve"> can obtain the necessary configurations to receive </w:t>
      </w:r>
      <w:r w:rsidR="007D56AF">
        <w:rPr>
          <w:rFonts w:eastAsia="바탕체"/>
          <w:lang w:val="en-US" w:eastAsia="ko-KR"/>
        </w:rPr>
        <w:t>L1/L2 signaling of the side control information</w:t>
      </w:r>
      <w:r w:rsidR="003C0A91">
        <w:rPr>
          <w:rFonts w:eastAsia="바탕체" w:hint="eastAsia"/>
          <w:lang w:val="en-US" w:eastAsia="ko-KR"/>
        </w:rPr>
        <w:t xml:space="preserve"> [2]</w:t>
      </w:r>
      <w:r w:rsidR="007D56AF">
        <w:rPr>
          <w:rFonts w:eastAsia="바탕체" w:hint="eastAsia"/>
          <w:lang w:val="en-US" w:eastAsia="ko-KR"/>
        </w:rPr>
        <w:t>.</w:t>
      </w:r>
      <w:r w:rsidR="007D56AF">
        <w:rPr>
          <w:rFonts w:eastAsia="바탕체"/>
          <w:lang w:val="en-US" w:eastAsia="ko-KR"/>
        </w:rPr>
        <w:t xml:space="preserve"> </w:t>
      </w:r>
    </w:p>
    <w:tbl>
      <w:tblPr>
        <w:tblStyle w:val="2e"/>
        <w:tblW w:w="0" w:type="auto"/>
        <w:tblLook w:val="04A0" w:firstRow="1" w:lastRow="0" w:firstColumn="1" w:lastColumn="0" w:noHBand="0" w:noVBand="1"/>
      </w:tblPr>
      <w:tblGrid>
        <w:gridCol w:w="9629"/>
      </w:tblGrid>
      <w:tr w:rsidR="003C0A91" w:rsidRPr="007D56AF" w14:paraId="5792E088" w14:textId="77777777" w:rsidTr="00FA6785">
        <w:tc>
          <w:tcPr>
            <w:tcW w:w="10456" w:type="dxa"/>
            <w:tcBorders>
              <w:top w:val="single" w:sz="4" w:space="0" w:color="auto"/>
              <w:left w:val="single" w:sz="4" w:space="0" w:color="auto"/>
              <w:bottom w:val="single" w:sz="4" w:space="0" w:color="auto"/>
              <w:right w:val="single" w:sz="4" w:space="0" w:color="auto"/>
            </w:tcBorders>
            <w:hideMark/>
          </w:tcPr>
          <w:p w14:paraId="054A2666" w14:textId="77777777" w:rsidR="003C0A91" w:rsidRPr="007D56AF" w:rsidRDefault="003C0A91" w:rsidP="00FA6785">
            <w:pPr>
              <w:widowControl w:val="0"/>
              <w:wordWrap w:val="0"/>
              <w:overflowPunct/>
              <w:adjustRightInd/>
              <w:spacing w:after="160" w:line="259" w:lineRule="auto"/>
              <w:textAlignment w:val="auto"/>
              <w:rPr>
                <w:rFonts w:ascii="Times New Roman" w:hAnsi="Times New Roman" w:cs="Times New Roman"/>
                <w:color w:val="000000"/>
                <w:sz w:val="20"/>
                <w:lang w:val="en-US"/>
              </w:rPr>
            </w:pPr>
            <w:r w:rsidRPr="007D56AF">
              <w:rPr>
                <w:rFonts w:ascii="Times New Roman" w:hAnsi="Times New Roman" w:cs="Times New Roman"/>
                <w:color w:val="000000"/>
                <w:sz w:val="20"/>
                <w:lang w:val="en-US"/>
              </w:rPr>
              <w:t>For the configuration of signalling, the NCR-MT can obtain the necessary configuration for receiving the L1/L2 signaling of the side control information.</w:t>
            </w:r>
          </w:p>
          <w:p w14:paraId="08AFD600" w14:textId="77777777" w:rsidR="003C0A91" w:rsidRPr="007D56AF" w:rsidRDefault="003C0A91" w:rsidP="005A14FE">
            <w:pPr>
              <w:widowControl w:val="0"/>
              <w:numPr>
                <w:ilvl w:val="0"/>
                <w:numId w:val="28"/>
              </w:numPr>
              <w:wordWrap w:val="0"/>
              <w:overflowPunct/>
              <w:adjustRightInd/>
              <w:spacing w:after="0" w:line="259" w:lineRule="auto"/>
              <w:jc w:val="left"/>
              <w:textAlignment w:val="auto"/>
              <w:rPr>
                <w:rFonts w:ascii="Times New Roman" w:hAnsi="Times New Roman" w:cs="Times New Roman"/>
                <w:color w:val="000000"/>
                <w:sz w:val="20"/>
                <w:lang w:val="en-US"/>
              </w:rPr>
            </w:pPr>
            <w:r w:rsidRPr="007D56AF">
              <w:rPr>
                <w:rFonts w:ascii="Times New Roman" w:hAnsi="Times New Roman" w:cs="Times New Roman"/>
                <w:color w:val="000000"/>
                <w:sz w:val="20"/>
                <w:lang w:val="en-US"/>
              </w:rPr>
              <w:t>Option 1: The necessary configuration is from RRC.</w:t>
            </w:r>
          </w:p>
          <w:p w14:paraId="5CB1614A" w14:textId="77777777" w:rsidR="003C0A91" w:rsidRPr="007D56AF" w:rsidRDefault="003C0A91" w:rsidP="005A14FE">
            <w:pPr>
              <w:widowControl w:val="0"/>
              <w:numPr>
                <w:ilvl w:val="0"/>
                <w:numId w:val="28"/>
              </w:numPr>
              <w:wordWrap w:val="0"/>
              <w:overflowPunct/>
              <w:adjustRightInd/>
              <w:spacing w:after="0" w:line="259" w:lineRule="auto"/>
              <w:jc w:val="left"/>
              <w:textAlignment w:val="auto"/>
              <w:rPr>
                <w:rFonts w:ascii="Times New Roman" w:hAnsi="Times New Roman" w:cs="Times New Roman"/>
                <w:color w:val="000000"/>
                <w:sz w:val="20"/>
                <w:lang w:val="en-US"/>
              </w:rPr>
            </w:pPr>
            <w:r w:rsidRPr="007D56AF">
              <w:rPr>
                <w:rFonts w:ascii="Times New Roman" w:hAnsi="Times New Roman" w:cs="Times New Roman"/>
                <w:color w:val="000000"/>
                <w:sz w:val="20"/>
                <w:lang w:val="en-US"/>
              </w:rPr>
              <w:t>Option 2: The necessary configuration is from OAM or hard-coded.</w:t>
            </w:r>
          </w:p>
          <w:p w14:paraId="1BEE42EE" w14:textId="77777777" w:rsidR="003C0A91" w:rsidRPr="007D56AF" w:rsidRDefault="003C0A91" w:rsidP="005A14FE">
            <w:pPr>
              <w:widowControl w:val="0"/>
              <w:numPr>
                <w:ilvl w:val="0"/>
                <w:numId w:val="28"/>
              </w:numPr>
              <w:wordWrap w:val="0"/>
              <w:overflowPunct/>
              <w:adjustRightInd/>
              <w:spacing w:after="0" w:line="259" w:lineRule="auto"/>
              <w:jc w:val="left"/>
              <w:textAlignment w:val="auto"/>
              <w:rPr>
                <w:rFonts w:ascii="Times New Roman" w:hAnsi="Times New Roman" w:cs="Times New Roman"/>
                <w:color w:val="000000"/>
                <w:sz w:val="20"/>
                <w:lang w:val="en-US"/>
              </w:rPr>
            </w:pPr>
            <w:r w:rsidRPr="007D56AF">
              <w:rPr>
                <w:rFonts w:ascii="Times New Roman" w:hAnsi="Times New Roman" w:cs="Times New Roman"/>
                <w:color w:val="000000"/>
                <w:sz w:val="20"/>
                <w:lang w:val="en-US"/>
              </w:rPr>
              <w:t>Option 3: The necessary configuration is partially configured by RRC and partially configured by OAM or hard-coded.</w:t>
            </w:r>
          </w:p>
          <w:p w14:paraId="1E8A5F48" w14:textId="77777777" w:rsidR="003C0A91" w:rsidRPr="007D56AF" w:rsidRDefault="003C0A91" w:rsidP="00FA6785">
            <w:pPr>
              <w:widowControl w:val="0"/>
              <w:wordWrap w:val="0"/>
              <w:overflowPunct/>
              <w:adjustRightInd/>
              <w:spacing w:beforeLines="50" w:before="120" w:after="160" w:line="259" w:lineRule="auto"/>
              <w:textAlignment w:val="auto"/>
              <w:rPr>
                <w:rFonts w:ascii="Times New Roman" w:hAnsi="Times New Roman" w:cs="Times New Roman"/>
                <w:iCs/>
                <w:color w:val="000000"/>
                <w:sz w:val="20"/>
                <w:lang w:val="en-US" w:eastAsia="ko-KR"/>
              </w:rPr>
            </w:pPr>
            <w:r w:rsidRPr="007D56AF">
              <w:rPr>
                <w:rFonts w:ascii="Times New Roman" w:hAnsi="Times New Roman" w:cs="Times New Roman"/>
                <w:color w:val="000000"/>
                <w:sz w:val="20"/>
                <w:lang w:val="en-US"/>
              </w:rPr>
              <w:t>T</w:t>
            </w:r>
            <w:r w:rsidRPr="007D56AF">
              <w:rPr>
                <w:rFonts w:ascii="Times New Roman" w:hAnsi="Times New Roman" w:cs="Times New Roman"/>
                <w:iCs/>
                <w:color w:val="000000"/>
                <w:sz w:val="20"/>
                <w:lang w:val="en-US" w:eastAsia="ko-KR"/>
              </w:rPr>
              <w:t>he necessary configurations from RRC and/or OAM (or hard-coded) contain:</w:t>
            </w:r>
          </w:p>
          <w:p w14:paraId="3D761730" w14:textId="77777777" w:rsidR="003C0A91" w:rsidRPr="007D56AF" w:rsidRDefault="003C0A91" w:rsidP="005A14FE">
            <w:pPr>
              <w:widowControl w:val="0"/>
              <w:numPr>
                <w:ilvl w:val="0"/>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en-US"/>
              </w:rPr>
            </w:pPr>
            <w:r w:rsidRPr="007D56AF">
              <w:rPr>
                <w:rFonts w:ascii="Times New Roman" w:eastAsia="Times New Roman" w:hAnsi="Times New Roman" w:cs="Times New Roman"/>
                <w:iCs/>
                <w:color w:val="000000"/>
                <w:sz w:val="20"/>
                <w:lang w:val="en-US" w:eastAsia="ko-KR"/>
              </w:rPr>
              <w:t xml:space="preserve">The configurations of PHY channels to carry the L1/L2 signaling including </w:t>
            </w:r>
          </w:p>
          <w:p w14:paraId="76645198" w14:textId="77777777" w:rsidR="003C0A91" w:rsidRPr="007D56AF" w:rsidRDefault="003C0A91" w:rsidP="005A14FE">
            <w:pPr>
              <w:widowControl w:val="0"/>
              <w:numPr>
                <w:ilvl w:val="1"/>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t>The configurations for receiving PDCCH and PDSCH.</w:t>
            </w:r>
          </w:p>
          <w:p w14:paraId="019B272A" w14:textId="77777777" w:rsidR="003C0A91" w:rsidRPr="007D56AF" w:rsidRDefault="003C0A91" w:rsidP="005A14FE">
            <w:pPr>
              <w:widowControl w:val="0"/>
              <w:numPr>
                <w:ilvl w:val="1"/>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t>The configurations for transmitting PUCCH, if needed.</w:t>
            </w:r>
          </w:p>
          <w:p w14:paraId="383A1BF3" w14:textId="77777777" w:rsidR="003C0A91" w:rsidRPr="007D56AF" w:rsidRDefault="003C0A91" w:rsidP="005A14FE">
            <w:pPr>
              <w:widowControl w:val="0"/>
              <w:numPr>
                <w:ilvl w:val="1"/>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t>The configurations for transmitting PUSCH, if needed.</w:t>
            </w:r>
          </w:p>
          <w:p w14:paraId="284EFAC5" w14:textId="77777777" w:rsidR="003C0A91" w:rsidRPr="007D56AF" w:rsidRDefault="003C0A91" w:rsidP="005A14FE">
            <w:pPr>
              <w:widowControl w:val="0"/>
              <w:numPr>
                <w:ilvl w:val="0"/>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t>The configurations of L1/L2 signaling including</w:t>
            </w:r>
          </w:p>
          <w:p w14:paraId="78F70D10" w14:textId="77777777" w:rsidR="003C0A91" w:rsidRPr="007D56AF" w:rsidRDefault="003C0A91" w:rsidP="005A14FE">
            <w:pPr>
              <w:widowControl w:val="0"/>
              <w:numPr>
                <w:ilvl w:val="1"/>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t>The configurations for DCI.</w:t>
            </w:r>
          </w:p>
          <w:p w14:paraId="38BD132D" w14:textId="77777777" w:rsidR="003C0A91" w:rsidRPr="007D56AF" w:rsidRDefault="003C0A91" w:rsidP="005A14FE">
            <w:pPr>
              <w:widowControl w:val="0"/>
              <w:numPr>
                <w:ilvl w:val="1"/>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lastRenderedPageBreak/>
              <w:t>The configurations for UCI, if needed.</w:t>
            </w:r>
          </w:p>
          <w:p w14:paraId="489582A2" w14:textId="77777777" w:rsidR="003C0A91" w:rsidRPr="007D56AF" w:rsidRDefault="003C0A91" w:rsidP="005A14FE">
            <w:pPr>
              <w:widowControl w:val="0"/>
              <w:numPr>
                <w:ilvl w:val="1"/>
                <w:numId w:val="29"/>
              </w:numPr>
              <w:wordWrap w:val="0"/>
              <w:overflowPunct/>
              <w:adjustRightInd/>
              <w:spacing w:after="0" w:line="259" w:lineRule="auto"/>
              <w:jc w:val="left"/>
              <w:textAlignment w:val="auto"/>
              <w:rPr>
                <w:rFonts w:ascii="Times New Roman" w:eastAsia="Times New Roman" w:hAnsi="Times New Roman" w:cs="Times New Roman"/>
                <w:iCs/>
                <w:color w:val="000000"/>
                <w:sz w:val="20"/>
                <w:lang w:val="en-US" w:eastAsia="ko-KR"/>
              </w:rPr>
            </w:pPr>
            <w:r w:rsidRPr="007D56AF">
              <w:rPr>
                <w:rFonts w:ascii="Times New Roman" w:eastAsia="Times New Roman" w:hAnsi="Times New Roman" w:cs="Times New Roman"/>
                <w:iCs/>
                <w:color w:val="000000"/>
                <w:sz w:val="20"/>
                <w:lang w:val="en-US" w:eastAsia="ko-KR"/>
              </w:rPr>
              <w:t>The configurations for MAC CE, if needed.</w:t>
            </w:r>
          </w:p>
          <w:p w14:paraId="2AC16029" w14:textId="77777777" w:rsidR="003C0A91" w:rsidRPr="007D56AF" w:rsidRDefault="003C0A91" w:rsidP="00FA6785">
            <w:pPr>
              <w:widowControl w:val="0"/>
              <w:wordWrap w:val="0"/>
              <w:overflowPunct/>
              <w:adjustRightInd/>
              <w:spacing w:beforeLines="50" w:before="120" w:after="160" w:line="259" w:lineRule="auto"/>
              <w:textAlignment w:val="auto"/>
              <w:rPr>
                <w:rFonts w:ascii="Arial" w:hAnsi="Arial"/>
                <w:color w:val="A6A6A6"/>
                <w:sz w:val="20"/>
                <w:lang w:val="en-US" w:eastAsia="ko-KR"/>
              </w:rPr>
            </w:pPr>
            <w:r w:rsidRPr="007D56AF">
              <w:rPr>
                <w:rFonts w:ascii="Times New Roman" w:hAnsi="Times New Roman" w:cs="Times New Roman"/>
                <w:iCs/>
                <w:color w:val="000000"/>
                <w:sz w:val="20"/>
                <w:lang w:val="en-US" w:eastAsia="ko-KR"/>
              </w:rPr>
              <w:t>For the parameters in the necessary configurations for L1/L2 signaling, the existing parameters for PDCCH, PDSCH, PUCCH, PUSCH, DCI, UCI and MAC CE in Rel-17 are the baseline for further discussion.</w:t>
            </w:r>
            <w:r w:rsidRPr="007D56AF">
              <w:rPr>
                <w:rFonts w:ascii="Arial" w:hAnsi="Arial" w:cs="Arial" w:hint="eastAsia"/>
                <w:iCs/>
                <w:color w:val="000000"/>
                <w:sz w:val="20"/>
                <w:lang w:val="en-US" w:eastAsia="ko-KR"/>
              </w:rPr>
              <w:t xml:space="preserve"> </w:t>
            </w:r>
          </w:p>
        </w:tc>
      </w:tr>
    </w:tbl>
    <w:p w14:paraId="0506691E" w14:textId="77777777" w:rsidR="003C0A91" w:rsidRDefault="003C0A91" w:rsidP="00164DDE">
      <w:pPr>
        <w:rPr>
          <w:rFonts w:eastAsia="바탕체"/>
          <w:lang w:val="en-US" w:eastAsia="ko-KR"/>
        </w:rPr>
      </w:pPr>
    </w:p>
    <w:p w14:paraId="6B302425" w14:textId="068C9C31" w:rsidR="00790D05" w:rsidRDefault="00790D05" w:rsidP="00164DDE">
      <w:pPr>
        <w:rPr>
          <w:rFonts w:eastAsia="바탕체"/>
          <w:lang w:val="en-US" w:eastAsia="ko-KR"/>
        </w:rPr>
      </w:pPr>
      <w:r w:rsidRPr="00790D05">
        <w:rPr>
          <w:rFonts w:eastAsia="바탕체"/>
          <w:lang w:val="en-US" w:eastAsia="ko-KR"/>
        </w:rPr>
        <w:t>For this, it will be discussed how these configurations will be given to NCR (i.e., RRC or OAM/hard-coded)</w:t>
      </w:r>
      <w:r>
        <w:rPr>
          <w:rFonts w:eastAsia="바탕체"/>
          <w:lang w:val="en-US" w:eastAsia="ko-KR"/>
        </w:rPr>
        <w:t xml:space="preserve"> during work item phase</w:t>
      </w:r>
      <w:r w:rsidRPr="00790D05">
        <w:rPr>
          <w:rFonts w:eastAsia="바탕체"/>
          <w:lang w:val="en-US" w:eastAsia="ko-KR"/>
        </w:rPr>
        <w:t>. However, from the RAN1 perspective, how the configuration for the operation of the NCR-MT is provided is not an issue. In any case, NCR-MT may operate according to a given configuration.</w:t>
      </w:r>
      <w:r>
        <w:rPr>
          <w:rFonts w:eastAsia="바탕체"/>
          <w:lang w:val="en-US" w:eastAsia="ko-KR"/>
        </w:rPr>
        <w:t xml:space="preserve"> </w:t>
      </w:r>
      <w:r w:rsidRPr="00790D05">
        <w:rPr>
          <w:rFonts w:eastAsia="바탕체"/>
          <w:lang w:val="en-US" w:eastAsia="ko-KR"/>
        </w:rPr>
        <w:t xml:space="preserve">Instead, </w:t>
      </w:r>
      <w:r>
        <w:rPr>
          <w:rFonts w:eastAsia="바탕체"/>
          <w:lang w:val="en-US" w:eastAsia="ko-KR"/>
        </w:rPr>
        <w:t xml:space="preserve">RAN1 needs to discuss the </w:t>
      </w:r>
      <w:r w:rsidRPr="00790D05">
        <w:rPr>
          <w:rFonts w:eastAsia="바탕체"/>
          <w:lang w:val="en-US" w:eastAsia="ko-KR"/>
        </w:rPr>
        <w:t xml:space="preserve">L1 feature to </w:t>
      </w:r>
      <w:r>
        <w:rPr>
          <w:rFonts w:eastAsia="바탕체"/>
          <w:lang w:val="en-US" w:eastAsia="ko-KR"/>
        </w:rPr>
        <w:t>support for NCR-MT operation.</w:t>
      </w:r>
    </w:p>
    <w:p w14:paraId="14D4993A" w14:textId="6112FF03" w:rsidR="006F1F8D" w:rsidRDefault="00FB71B5" w:rsidP="00164DDE">
      <w:pPr>
        <w:rPr>
          <w:rFonts w:eastAsia="바탕체"/>
          <w:lang w:val="en-US" w:eastAsia="ko-KR"/>
        </w:rPr>
      </w:pPr>
      <w:r>
        <w:rPr>
          <w:rFonts w:eastAsia="바탕체"/>
          <w:lang w:val="en-US" w:eastAsia="ko-KR"/>
        </w:rPr>
        <w:t xml:space="preserve">In our view, </w:t>
      </w:r>
      <w:r w:rsidRPr="00FB71B5">
        <w:rPr>
          <w:rFonts w:eastAsia="바탕체"/>
          <w:lang w:val="en-US" w:eastAsia="ko-KR"/>
        </w:rPr>
        <w:t xml:space="preserve">the basic L1 feature required for the operation of NCR-MT </w:t>
      </w:r>
      <w:r>
        <w:rPr>
          <w:rFonts w:eastAsia="바탕체"/>
          <w:lang w:val="en-US" w:eastAsia="ko-KR"/>
        </w:rPr>
        <w:t>may</w:t>
      </w:r>
      <w:r w:rsidRPr="00FB71B5">
        <w:rPr>
          <w:rFonts w:eastAsia="바탕체"/>
          <w:lang w:val="en-US" w:eastAsia="ko-KR"/>
        </w:rPr>
        <w:t xml:space="preserve"> not much different from that of IAB-MT.</w:t>
      </w:r>
      <w:r>
        <w:rPr>
          <w:rFonts w:eastAsia="바탕체"/>
          <w:lang w:val="en-US" w:eastAsia="ko-KR"/>
        </w:rPr>
        <w:t xml:space="preserve"> </w:t>
      </w:r>
      <w:r w:rsidRPr="00FB71B5">
        <w:rPr>
          <w:rFonts w:eastAsia="바탕체"/>
          <w:lang w:val="en-US" w:eastAsia="ko-KR"/>
        </w:rPr>
        <w:t xml:space="preserve">The discussion </w:t>
      </w:r>
      <w:r>
        <w:rPr>
          <w:rFonts w:eastAsia="바탕체"/>
          <w:lang w:val="en-US" w:eastAsia="ko-KR"/>
        </w:rPr>
        <w:t>on</w:t>
      </w:r>
      <w:r w:rsidRPr="00FB71B5">
        <w:rPr>
          <w:rFonts w:eastAsia="바탕체"/>
          <w:lang w:val="en-US" w:eastAsia="ko-KR"/>
        </w:rPr>
        <w:t xml:space="preserve"> the L1 mandatory features to be supported </w:t>
      </w:r>
      <w:r>
        <w:rPr>
          <w:rFonts w:eastAsia="바탕체"/>
          <w:lang w:val="en-US" w:eastAsia="ko-KR"/>
        </w:rPr>
        <w:t xml:space="preserve">for IAB-MT </w:t>
      </w:r>
      <w:r w:rsidRPr="00FB71B5">
        <w:rPr>
          <w:rFonts w:eastAsia="바탕체"/>
          <w:lang w:val="en-US" w:eastAsia="ko-KR"/>
        </w:rPr>
        <w:t>was conducted in Rel-16 IAB</w:t>
      </w:r>
      <w:r>
        <w:rPr>
          <w:rFonts w:eastAsia="바탕체"/>
          <w:lang w:val="en-US" w:eastAsia="ko-KR"/>
        </w:rPr>
        <w:t xml:space="preserve"> WI</w:t>
      </w:r>
      <w:r w:rsidRPr="00FB71B5">
        <w:rPr>
          <w:rFonts w:eastAsia="바탕체"/>
          <w:lang w:val="en-US" w:eastAsia="ko-KR"/>
        </w:rPr>
        <w:t xml:space="preserve">, </w:t>
      </w:r>
      <w:r w:rsidR="006F1F8D" w:rsidRPr="006F1F8D">
        <w:rPr>
          <w:rFonts w:eastAsia="바탕체"/>
          <w:lang w:val="en-US" w:eastAsia="ko-KR"/>
        </w:rPr>
        <w:t>and Table 4.2.15.1-1 of TS38.306 shows the determined L1 mandatory features of the IAB-MT.</w:t>
      </w:r>
      <w:r w:rsidR="006F1F8D">
        <w:rPr>
          <w:rFonts w:eastAsia="바탕체"/>
          <w:lang w:val="en-US" w:eastAsia="ko-KR"/>
        </w:rPr>
        <w:t xml:space="preserve"> </w:t>
      </w:r>
      <w:r w:rsidR="006F1F8D" w:rsidRPr="00FB71B5">
        <w:rPr>
          <w:rFonts w:eastAsia="바탕체"/>
          <w:lang w:val="en-US" w:eastAsia="ko-KR"/>
        </w:rPr>
        <w:t xml:space="preserve">Table 1 </w:t>
      </w:r>
      <w:r w:rsidR="006F1F8D">
        <w:rPr>
          <w:rFonts w:eastAsia="바탕체"/>
          <w:lang w:val="en-US" w:eastAsia="ko-KR"/>
        </w:rPr>
        <w:t>summarizes</w:t>
      </w:r>
      <w:r w:rsidR="006F1F8D" w:rsidRPr="00FB71B5">
        <w:rPr>
          <w:rFonts w:eastAsia="바탕체"/>
          <w:lang w:val="en-US" w:eastAsia="ko-KR"/>
        </w:rPr>
        <w:t xml:space="preserve"> the feature groups of the L1 mandatory features </w:t>
      </w:r>
      <w:r w:rsidR="006F1F8D">
        <w:rPr>
          <w:rFonts w:eastAsia="바탕체"/>
          <w:lang w:val="en-US" w:eastAsia="ko-KR"/>
        </w:rPr>
        <w:t>for</w:t>
      </w:r>
      <w:r w:rsidR="006F1F8D" w:rsidRPr="00FB71B5">
        <w:rPr>
          <w:rFonts w:eastAsia="바탕체"/>
          <w:lang w:val="en-US" w:eastAsia="ko-KR"/>
        </w:rPr>
        <w:t xml:space="preserve"> IAB-MT.</w:t>
      </w:r>
    </w:p>
    <w:p w14:paraId="3B071126" w14:textId="5ED65F4D" w:rsidR="006F1F8D" w:rsidRDefault="006F1F8D" w:rsidP="00164DDE">
      <w:pPr>
        <w:rPr>
          <w:rFonts w:eastAsia="바탕체"/>
          <w:lang w:val="en-US" w:eastAsia="ko-KR"/>
        </w:rPr>
      </w:pPr>
      <w:r w:rsidRPr="006F1F8D">
        <w:rPr>
          <w:rFonts w:eastAsia="바탕체"/>
          <w:lang w:val="en-US" w:eastAsia="ko-KR"/>
        </w:rPr>
        <w:t>In order to discuss the mandatory features of NCR-MT, rather than repeating the discussion similar to that in Rel-16 IAB, we propose to consider these L1 mandatory features of IAB-MT as mandatory features in NCR-MT</w:t>
      </w:r>
      <w:r>
        <w:rPr>
          <w:rFonts w:eastAsia="바탕체"/>
          <w:lang w:val="en-US" w:eastAsia="ko-KR"/>
        </w:rPr>
        <w:t xml:space="preserve"> as a baseline</w:t>
      </w:r>
      <w:r w:rsidRPr="006F1F8D">
        <w:rPr>
          <w:rFonts w:eastAsia="바탕체"/>
          <w:lang w:val="en-US" w:eastAsia="ko-KR"/>
        </w:rPr>
        <w:t>.</w:t>
      </w:r>
    </w:p>
    <w:p w14:paraId="2ADB85D3" w14:textId="77777777" w:rsidR="00ED11DF" w:rsidRDefault="00ED11DF" w:rsidP="00ED11DF">
      <w:pPr>
        <w:rPr>
          <w:rFonts w:eastAsia="바탕체"/>
          <w:lang w:val="en-US" w:eastAsia="ko-KR"/>
        </w:rPr>
      </w:pPr>
    </w:p>
    <w:p w14:paraId="42A9BB55" w14:textId="77777777" w:rsidR="00ED11DF" w:rsidRPr="00DA2669" w:rsidRDefault="00ED11DF" w:rsidP="00ED11DF">
      <w:pPr>
        <w:jc w:val="center"/>
        <w:rPr>
          <w:rFonts w:eastAsia="바탕체"/>
          <w:b/>
          <w:lang w:val="en-US" w:eastAsia="ko-KR"/>
        </w:rPr>
      </w:pPr>
      <w:r w:rsidRPr="00DA2669">
        <w:rPr>
          <w:rFonts w:eastAsia="바탕체"/>
          <w:b/>
          <w:lang w:val="en-US" w:eastAsia="ko-KR"/>
        </w:rPr>
        <w:t xml:space="preserve">Table 1. </w:t>
      </w:r>
      <w:r w:rsidRPr="00DA2669">
        <w:rPr>
          <w:b/>
        </w:rPr>
        <w:t>Layer-1 mandatory features for IAB-MT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4"/>
        <w:gridCol w:w="5249"/>
      </w:tblGrid>
      <w:tr w:rsidR="00ED11DF" w:rsidRPr="007D1E1D" w14:paraId="37047FD3" w14:textId="77777777" w:rsidTr="00471A3D">
        <w:trPr>
          <w:tblHeader/>
          <w:jc w:val="center"/>
        </w:trPr>
        <w:tc>
          <w:tcPr>
            <w:tcW w:w="3256" w:type="dxa"/>
            <w:tcBorders>
              <w:top w:val="single" w:sz="4" w:space="0" w:color="auto"/>
              <w:left w:val="single" w:sz="4" w:space="0" w:color="auto"/>
              <w:bottom w:val="single" w:sz="4" w:space="0" w:color="auto"/>
              <w:right w:val="single" w:sz="4" w:space="0" w:color="auto"/>
            </w:tcBorders>
          </w:tcPr>
          <w:p w14:paraId="048470E4" w14:textId="77777777" w:rsidR="00ED11DF" w:rsidRPr="007D1E1D" w:rsidRDefault="00ED11DF" w:rsidP="00471A3D">
            <w:pPr>
              <w:pStyle w:val="30"/>
              <w:numPr>
                <w:ilvl w:val="0"/>
                <w:numId w:val="0"/>
              </w:numPr>
              <w:ind w:left="360" w:hanging="360"/>
            </w:pPr>
            <w:r w:rsidRPr="000C30F3">
              <w:rPr>
                <w:rFonts w:eastAsia="Times New Roman"/>
                <w:b/>
                <w:sz w:val="18"/>
                <w:szCs w:val="20"/>
                <w:lang w:val="en-GB" w:eastAsia="ja-JP"/>
              </w:rPr>
              <w:t>Features</w:t>
            </w:r>
          </w:p>
        </w:tc>
        <w:tc>
          <w:tcPr>
            <w:tcW w:w="1134" w:type="dxa"/>
            <w:tcBorders>
              <w:top w:val="single" w:sz="4" w:space="0" w:color="auto"/>
              <w:left w:val="single" w:sz="4" w:space="0" w:color="auto"/>
              <w:bottom w:val="single" w:sz="4" w:space="0" w:color="auto"/>
              <w:right w:val="single" w:sz="4" w:space="0" w:color="auto"/>
            </w:tcBorders>
          </w:tcPr>
          <w:p w14:paraId="67EB9977" w14:textId="77777777" w:rsidR="00ED11DF" w:rsidRPr="007D1E1D" w:rsidRDefault="00ED11DF" w:rsidP="00471A3D">
            <w:pPr>
              <w:pStyle w:val="TAH"/>
            </w:pPr>
            <w:r w:rsidRPr="007D1E1D">
              <w:t>Index</w:t>
            </w:r>
          </w:p>
        </w:tc>
        <w:tc>
          <w:tcPr>
            <w:tcW w:w="5249" w:type="dxa"/>
            <w:tcBorders>
              <w:top w:val="single" w:sz="4" w:space="0" w:color="auto"/>
              <w:left w:val="single" w:sz="4" w:space="0" w:color="auto"/>
              <w:bottom w:val="single" w:sz="4" w:space="0" w:color="auto"/>
              <w:right w:val="single" w:sz="4" w:space="0" w:color="auto"/>
            </w:tcBorders>
          </w:tcPr>
          <w:p w14:paraId="546B64BD" w14:textId="77777777" w:rsidR="00ED11DF" w:rsidRPr="007D1E1D" w:rsidRDefault="00ED11DF" w:rsidP="00471A3D">
            <w:pPr>
              <w:pStyle w:val="TAH"/>
            </w:pPr>
            <w:r w:rsidRPr="007D1E1D">
              <w:t>Feature group</w:t>
            </w:r>
          </w:p>
        </w:tc>
      </w:tr>
      <w:tr w:rsidR="00ED11DF" w:rsidRPr="007D1E1D" w14:paraId="6F0D24E0" w14:textId="77777777" w:rsidTr="00471A3D">
        <w:trPr>
          <w:tblHeader/>
          <w:jc w:val="center"/>
        </w:trPr>
        <w:tc>
          <w:tcPr>
            <w:tcW w:w="3256" w:type="dxa"/>
            <w:vMerge w:val="restart"/>
          </w:tcPr>
          <w:p w14:paraId="42A8A156" w14:textId="77777777" w:rsidR="00ED11DF" w:rsidRPr="007D1E1D" w:rsidRDefault="00ED11DF" w:rsidP="00471A3D">
            <w:pPr>
              <w:pStyle w:val="TAL"/>
            </w:pPr>
            <w:r w:rsidRPr="007D1E1D">
              <w:t>0. Waveform, modulation, subcarrier spacings, and CP</w:t>
            </w:r>
          </w:p>
        </w:tc>
        <w:tc>
          <w:tcPr>
            <w:tcW w:w="1134" w:type="dxa"/>
          </w:tcPr>
          <w:p w14:paraId="5A42385B" w14:textId="77777777" w:rsidR="00ED11DF" w:rsidRPr="007D1E1D" w:rsidRDefault="00ED11DF" w:rsidP="00471A3D">
            <w:pPr>
              <w:pStyle w:val="TAL"/>
            </w:pPr>
            <w:r w:rsidRPr="007D1E1D">
              <w:t>0-1</w:t>
            </w:r>
          </w:p>
        </w:tc>
        <w:tc>
          <w:tcPr>
            <w:tcW w:w="5249" w:type="dxa"/>
          </w:tcPr>
          <w:p w14:paraId="3978EC47" w14:textId="77777777" w:rsidR="00ED11DF" w:rsidRPr="007D1E1D" w:rsidRDefault="00ED11DF" w:rsidP="00471A3D">
            <w:pPr>
              <w:pStyle w:val="TAL"/>
            </w:pPr>
            <w:r w:rsidRPr="007D1E1D">
              <w:t>CP-OFDM waveform for DL and UL</w:t>
            </w:r>
          </w:p>
        </w:tc>
      </w:tr>
      <w:tr w:rsidR="00ED11DF" w:rsidRPr="007D1E1D" w14:paraId="13CDEAA3" w14:textId="77777777" w:rsidTr="00471A3D">
        <w:trPr>
          <w:tblHeader/>
          <w:jc w:val="center"/>
        </w:trPr>
        <w:tc>
          <w:tcPr>
            <w:tcW w:w="3256" w:type="dxa"/>
            <w:vMerge/>
          </w:tcPr>
          <w:p w14:paraId="664C9158" w14:textId="77777777" w:rsidR="00ED11DF" w:rsidRPr="007D1E1D" w:rsidRDefault="00ED11DF" w:rsidP="00471A3D">
            <w:pPr>
              <w:pStyle w:val="TAL"/>
            </w:pPr>
          </w:p>
        </w:tc>
        <w:tc>
          <w:tcPr>
            <w:tcW w:w="1134" w:type="dxa"/>
          </w:tcPr>
          <w:p w14:paraId="2270D36F" w14:textId="77777777" w:rsidR="00ED11DF" w:rsidRPr="007D1E1D" w:rsidRDefault="00ED11DF" w:rsidP="00471A3D">
            <w:pPr>
              <w:pStyle w:val="TAL"/>
            </w:pPr>
            <w:r w:rsidRPr="007D1E1D">
              <w:t>0-3</w:t>
            </w:r>
          </w:p>
        </w:tc>
        <w:tc>
          <w:tcPr>
            <w:tcW w:w="5249" w:type="dxa"/>
          </w:tcPr>
          <w:p w14:paraId="5D6C0378" w14:textId="77777777" w:rsidR="00ED11DF" w:rsidRPr="007D1E1D" w:rsidRDefault="00ED11DF" w:rsidP="00471A3D">
            <w:pPr>
              <w:pStyle w:val="TAL"/>
            </w:pPr>
            <w:r w:rsidRPr="007D1E1D">
              <w:t>DL modulation scheme</w:t>
            </w:r>
          </w:p>
        </w:tc>
      </w:tr>
      <w:tr w:rsidR="00ED11DF" w:rsidRPr="007D1E1D" w14:paraId="33DECD77" w14:textId="77777777" w:rsidTr="00471A3D">
        <w:trPr>
          <w:tblHeader/>
          <w:jc w:val="center"/>
        </w:trPr>
        <w:tc>
          <w:tcPr>
            <w:tcW w:w="3256" w:type="dxa"/>
            <w:vMerge/>
          </w:tcPr>
          <w:p w14:paraId="5DAF3319" w14:textId="77777777" w:rsidR="00ED11DF" w:rsidRPr="007D1E1D" w:rsidRDefault="00ED11DF" w:rsidP="00471A3D">
            <w:pPr>
              <w:pStyle w:val="TAL"/>
            </w:pPr>
          </w:p>
        </w:tc>
        <w:tc>
          <w:tcPr>
            <w:tcW w:w="1134" w:type="dxa"/>
          </w:tcPr>
          <w:p w14:paraId="254835A7" w14:textId="77777777" w:rsidR="00ED11DF" w:rsidRPr="007D1E1D" w:rsidRDefault="00ED11DF" w:rsidP="00471A3D">
            <w:pPr>
              <w:pStyle w:val="TAL"/>
            </w:pPr>
            <w:r w:rsidRPr="007D1E1D">
              <w:t>0-4</w:t>
            </w:r>
          </w:p>
        </w:tc>
        <w:tc>
          <w:tcPr>
            <w:tcW w:w="5249" w:type="dxa"/>
            <w:tcBorders>
              <w:top w:val="single" w:sz="4" w:space="0" w:color="auto"/>
              <w:bottom w:val="single" w:sz="4" w:space="0" w:color="auto"/>
              <w:right w:val="single" w:sz="4" w:space="0" w:color="auto"/>
            </w:tcBorders>
          </w:tcPr>
          <w:p w14:paraId="5E3F0CE6" w14:textId="77777777" w:rsidR="00ED11DF" w:rsidRPr="007D1E1D" w:rsidRDefault="00ED11DF" w:rsidP="00471A3D">
            <w:pPr>
              <w:pStyle w:val="TAL"/>
            </w:pPr>
            <w:r w:rsidRPr="007D1E1D">
              <w:t>UL modulation scheme</w:t>
            </w:r>
          </w:p>
        </w:tc>
      </w:tr>
      <w:tr w:rsidR="00ED11DF" w:rsidRPr="007D1E1D" w14:paraId="7CEB9315" w14:textId="77777777" w:rsidTr="00471A3D">
        <w:trPr>
          <w:tblHeader/>
          <w:jc w:val="center"/>
        </w:trPr>
        <w:tc>
          <w:tcPr>
            <w:tcW w:w="3256" w:type="dxa"/>
            <w:vMerge w:val="restart"/>
            <w:tcBorders>
              <w:top w:val="single" w:sz="4" w:space="0" w:color="auto"/>
              <w:left w:val="single" w:sz="4" w:space="0" w:color="auto"/>
              <w:right w:val="single" w:sz="4" w:space="0" w:color="auto"/>
            </w:tcBorders>
          </w:tcPr>
          <w:p w14:paraId="057D1604" w14:textId="77777777" w:rsidR="00ED11DF" w:rsidRPr="007D1E1D" w:rsidRDefault="00ED11DF" w:rsidP="00471A3D">
            <w:pPr>
              <w:pStyle w:val="TAL"/>
            </w:pPr>
            <w:r w:rsidRPr="007D1E1D">
              <w:t>1. Initial access and mobility</w:t>
            </w:r>
          </w:p>
        </w:tc>
        <w:tc>
          <w:tcPr>
            <w:tcW w:w="1134" w:type="dxa"/>
            <w:tcBorders>
              <w:top w:val="single" w:sz="4" w:space="0" w:color="auto"/>
              <w:left w:val="single" w:sz="4" w:space="0" w:color="auto"/>
              <w:bottom w:val="single" w:sz="4" w:space="0" w:color="auto"/>
              <w:right w:val="single" w:sz="4" w:space="0" w:color="auto"/>
            </w:tcBorders>
          </w:tcPr>
          <w:p w14:paraId="2AC24B61" w14:textId="77777777" w:rsidR="00ED11DF" w:rsidRPr="007D1E1D" w:rsidRDefault="00ED11DF" w:rsidP="00471A3D">
            <w:pPr>
              <w:pStyle w:val="TAL"/>
            </w:pPr>
            <w:r w:rsidRPr="007D1E1D">
              <w:t>1-1</w:t>
            </w:r>
          </w:p>
        </w:tc>
        <w:tc>
          <w:tcPr>
            <w:tcW w:w="5249" w:type="dxa"/>
            <w:tcBorders>
              <w:top w:val="single" w:sz="4" w:space="0" w:color="auto"/>
              <w:left w:val="single" w:sz="4" w:space="0" w:color="auto"/>
              <w:bottom w:val="single" w:sz="4" w:space="0" w:color="auto"/>
              <w:right w:val="single" w:sz="4" w:space="0" w:color="auto"/>
            </w:tcBorders>
          </w:tcPr>
          <w:p w14:paraId="7AD29D5B" w14:textId="77777777" w:rsidR="00ED11DF" w:rsidRPr="007D1E1D" w:rsidRDefault="00ED11DF" w:rsidP="00471A3D">
            <w:pPr>
              <w:pStyle w:val="TAL"/>
            </w:pPr>
            <w:r w:rsidRPr="007D1E1D">
              <w:t>Basic initial access channels and procedures</w:t>
            </w:r>
          </w:p>
        </w:tc>
      </w:tr>
      <w:tr w:rsidR="00ED11DF" w:rsidRPr="007D1E1D" w14:paraId="1F65D462" w14:textId="77777777" w:rsidTr="00471A3D">
        <w:trPr>
          <w:tblHeader/>
          <w:jc w:val="center"/>
        </w:trPr>
        <w:tc>
          <w:tcPr>
            <w:tcW w:w="3256" w:type="dxa"/>
            <w:vMerge/>
            <w:tcBorders>
              <w:left w:val="single" w:sz="4" w:space="0" w:color="auto"/>
              <w:bottom w:val="single" w:sz="4" w:space="0" w:color="auto"/>
              <w:right w:val="single" w:sz="4" w:space="0" w:color="auto"/>
            </w:tcBorders>
          </w:tcPr>
          <w:p w14:paraId="7476838A" w14:textId="77777777" w:rsidR="00ED11DF" w:rsidRPr="007D1E1D" w:rsidRDefault="00ED11DF" w:rsidP="00471A3D">
            <w:pPr>
              <w:pStyle w:val="TAL"/>
            </w:pPr>
          </w:p>
        </w:tc>
        <w:tc>
          <w:tcPr>
            <w:tcW w:w="1134" w:type="dxa"/>
            <w:tcBorders>
              <w:top w:val="single" w:sz="4" w:space="0" w:color="auto"/>
              <w:left w:val="single" w:sz="4" w:space="0" w:color="auto"/>
              <w:bottom w:val="single" w:sz="4" w:space="0" w:color="auto"/>
              <w:right w:val="single" w:sz="4" w:space="0" w:color="auto"/>
            </w:tcBorders>
          </w:tcPr>
          <w:p w14:paraId="01A1292B" w14:textId="77777777" w:rsidR="00ED11DF" w:rsidRPr="007D1E1D" w:rsidRDefault="00ED11DF" w:rsidP="00471A3D">
            <w:pPr>
              <w:pStyle w:val="TAL"/>
            </w:pPr>
            <w:r w:rsidRPr="007D1E1D">
              <w:t>1-3</w:t>
            </w:r>
          </w:p>
        </w:tc>
        <w:tc>
          <w:tcPr>
            <w:tcW w:w="5249" w:type="dxa"/>
            <w:tcBorders>
              <w:top w:val="single" w:sz="4" w:space="0" w:color="auto"/>
              <w:left w:val="single" w:sz="4" w:space="0" w:color="auto"/>
              <w:bottom w:val="single" w:sz="4" w:space="0" w:color="auto"/>
              <w:right w:val="single" w:sz="4" w:space="0" w:color="auto"/>
            </w:tcBorders>
          </w:tcPr>
          <w:p w14:paraId="1EB4F69E" w14:textId="77777777" w:rsidR="00ED11DF" w:rsidRPr="007D1E1D" w:rsidRDefault="00ED11DF" w:rsidP="00471A3D">
            <w:pPr>
              <w:pStyle w:val="TAL"/>
            </w:pPr>
            <w:r w:rsidRPr="007D1E1D">
              <w:t>SS block based RLM</w:t>
            </w:r>
          </w:p>
        </w:tc>
      </w:tr>
      <w:tr w:rsidR="00ED11DF" w:rsidRPr="007D1E1D" w14:paraId="26C4CD9A" w14:textId="77777777" w:rsidTr="00471A3D">
        <w:trPr>
          <w:tblHeader/>
          <w:jc w:val="center"/>
        </w:trPr>
        <w:tc>
          <w:tcPr>
            <w:tcW w:w="3256" w:type="dxa"/>
            <w:vMerge w:val="restart"/>
            <w:tcBorders>
              <w:top w:val="single" w:sz="4" w:space="0" w:color="auto"/>
              <w:left w:val="single" w:sz="4" w:space="0" w:color="auto"/>
              <w:right w:val="single" w:sz="4" w:space="0" w:color="auto"/>
            </w:tcBorders>
          </w:tcPr>
          <w:p w14:paraId="20916F6F" w14:textId="77777777" w:rsidR="00ED11DF" w:rsidRPr="007D1E1D" w:rsidRDefault="00ED11DF" w:rsidP="00471A3D">
            <w:pPr>
              <w:pStyle w:val="TAL"/>
            </w:pPr>
            <w:r w:rsidRPr="007D1E1D">
              <w:t>2. MIMO</w:t>
            </w:r>
          </w:p>
        </w:tc>
        <w:tc>
          <w:tcPr>
            <w:tcW w:w="1134" w:type="dxa"/>
            <w:tcBorders>
              <w:top w:val="single" w:sz="4" w:space="0" w:color="auto"/>
              <w:left w:val="single" w:sz="4" w:space="0" w:color="auto"/>
              <w:right w:val="single" w:sz="4" w:space="0" w:color="auto"/>
            </w:tcBorders>
          </w:tcPr>
          <w:p w14:paraId="066CBD85" w14:textId="77777777" w:rsidR="00ED11DF" w:rsidRPr="007D1E1D" w:rsidRDefault="00ED11DF" w:rsidP="00471A3D">
            <w:pPr>
              <w:pStyle w:val="TAL"/>
            </w:pPr>
            <w:r w:rsidRPr="007D1E1D">
              <w:t>2-1</w:t>
            </w:r>
          </w:p>
        </w:tc>
        <w:tc>
          <w:tcPr>
            <w:tcW w:w="5249" w:type="dxa"/>
            <w:tcBorders>
              <w:top w:val="single" w:sz="4" w:space="0" w:color="auto"/>
              <w:left w:val="single" w:sz="4" w:space="0" w:color="auto"/>
              <w:bottom w:val="single" w:sz="4" w:space="0" w:color="auto"/>
              <w:right w:val="single" w:sz="4" w:space="0" w:color="auto"/>
            </w:tcBorders>
          </w:tcPr>
          <w:p w14:paraId="14AF5E64" w14:textId="77777777" w:rsidR="00ED11DF" w:rsidRPr="007D1E1D" w:rsidRDefault="00ED11DF" w:rsidP="00471A3D">
            <w:pPr>
              <w:pStyle w:val="TAL"/>
            </w:pPr>
            <w:r w:rsidRPr="007D1E1D">
              <w:t>Basic PDSCH reception</w:t>
            </w:r>
          </w:p>
        </w:tc>
      </w:tr>
      <w:tr w:rsidR="00ED11DF" w:rsidRPr="007D1E1D" w14:paraId="3FBC5984" w14:textId="77777777" w:rsidTr="00471A3D">
        <w:trPr>
          <w:tblHeader/>
          <w:jc w:val="center"/>
        </w:trPr>
        <w:tc>
          <w:tcPr>
            <w:tcW w:w="3256" w:type="dxa"/>
            <w:vMerge/>
            <w:tcBorders>
              <w:left w:val="single" w:sz="4" w:space="0" w:color="auto"/>
              <w:right w:val="single" w:sz="4" w:space="0" w:color="auto"/>
            </w:tcBorders>
          </w:tcPr>
          <w:p w14:paraId="67104FAB" w14:textId="77777777" w:rsidR="00ED11DF" w:rsidRPr="007D1E1D" w:rsidRDefault="00ED11DF" w:rsidP="00471A3D">
            <w:pPr>
              <w:pStyle w:val="TAL"/>
            </w:pPr>
          </w:p>
        </w:tc>
        <w:tc>
          <w:tcPr>
            <w:tcW w:w="1134" w:type="dxa"/>
            <w:tcBorders>
              <w:left w:val="single" w:sz="4" w:space="0" w:color="auto"/>
              <w:right w:val="single" w:sz="4" w:space="0" w:color="auto"/>
            </w:tcBorders>
          </w:tcPr>
          <w:p w14:paraId="77CD3696" w14:textId="77777777" w:rsidR="00ED11DF" w:rsidRPr="007D1E1D" w:rsidRDefault="00ED11DF" w:rsidP="00471A3D">
            <w:pPr>
              <w:pStyle w:val="TAL"/>
            </w:pPr>
            <w:r w:rsidRPr="007D1E1D">
              <w:t>2-5</w:t>
            </w:r>
          </w:p>
        </w:tc>
        <w:tc>
          <w:tcPr>
            <w:tcW w:w="5249" w:type="dxa"/>
            <w:tcBorders>
              <w:top w:val="single" w:sz="4" w:space="0" w:color="auto"/>
              <w:left w:val="single" w:sz="4" w:space="0" w:color="auto"/>
              <w:bottom w:val="single" w:sz="4" w:space="0" w:color="auto"/>
              <w:right w:val="single" w:sz="4" w:space="0" w:color="auto"/>
            </w:tcBorders>
          </w:tcPr>
          <w:p w14:paraId="16B40A63" w14:textId="77777777" w:rsidR="00ED11DF" w:rsidRPr="007D1E1D" w:rsidRDefault="00ED11DF" w:rsidP="00471A3D">
            <w:pPr>
              <w:pStyle w:val="TAL"/>
            </w:pPr>
            <w:r w:rsidRPr="007D1E1D">
              <w:t>Basic downlink DMRS</w:t>
            </w:r>
          </w:p>
          <w:p w14:paraId="13FF2F0A" w14:textId="77777777" w:rsidR="00ED11DF" w:rsidRPr="007D1E1D" w:rsidRDefault="00ED11DF" w:rsidP="00471A3D">
            <w:pPr>
              <w:pStyle w:val="TAL"/>
            </w:pPr>
            <w:r w:rsidRPr="007D1E1D">
              <w:t>for scheduling type A</w:t>
            </w:r>
          </w:p>
        </w:tc>
      </w:tr>
      <w:tr w:rsidR="00ED11DF" w:rsidRPr="000C30F3" w14:paraId="24A31DB2" w14:textId="77777777" w:rsidTr="00471A3D">
        <w:trPr>
          <w:tblHeader/>
          <w:jc w:val="center"/>
        </w:trPr>
        <w:tc>
          <w:tcPr>
            <w:tcW w:w="3256" w:type="dxa"/>
            <w:vMerge/>
            <w:tcBorders>
              <w:left w:val="single" w:sz="4" w:space="0" w:color="auto"/>
              <w:right w:val="single" w:sz="4" w:space="0" w:color="auto"/>
            </w:tcBorders>
          </w:tcPr>
          <w:p w14:paraId="37C2F059" w14:textId="77777777" w:rsidR="00ED11DF" w:rsidRPr="007D1E1D" w:rsidRDefault="00ED11DF" w:rsidP="00471A3D">
            <w:pPr>
              <w:pStyle w:val="TAL"/>
            </w:pPr>
          </w:p>
        </w:tc>
        <w:tc>
          <w:tcPr>
            <w:tcW w:w="1134" w:type="dxa"/>
            <w:tcBorders>
              <w:left w:val="single" w:sz="4" w:space="0" w:color="auto"/>
              <w:right w:val="single" w:sz="4" w:space="0" w:color="auto"/>
            </w:tcBorders>
          </w:tcPr>
          <w:p w14:paraId="4C8B668A" w14:textId="77777777" w:rsidR="00ED11DF" w:rsidRPr="007D1E1D" w:rsidRDefault="00ED11DF" w:rsidP="00471A3D">
            <w:pPr>
              <w:pStyle w:val="TAL"/>
            </w:pPr>
            <w:r w:rsidRPr="007D1E1D">
              <w:t>2-6</w:t>
            </w:r>
          </w:p>
        </w:tc>
        <w:tc>
          <w:tcPr>
            <w:tcW w:w="5249" w:type="dxa"/>
            <w:tcBorders>
              <w:top w:val="single" w:sz="4" w:space="0" w:color="auto"/>
              <w:left w:val="single" w:sz="4" w:space="0" w:color="auto"/>
              <w:bottom w:val="single" w:sz="4" w:space="0" w:color="auto"/>
              <w:right w:val="single" w:sz="4" w:space="0" w:color="auto"/>
            </w:tcBorders>
          </w:tcPr>
          <w:p w14:paraId="1AE99EAB" w14:textId="77777777" w:rsidR="00ED11DF" w:rsidRPr="007D1E1D" w:rsidRDefault="00ED11DF" w:rsidP="00471A3D">
            <w:pPr>
              <w:pStyle w:val="TAL"/>
            </w:pPr>
            <w:r w:rsidRPr="007D1E1D">
              <w:t>Basic downlink DMRS</w:t>
            </w:r>
          </w:p>
          <w:p w14:paraId="0F78B421" w14:textId="77777777" w:rsidR="00ED11DF" w:rsidRPr="007D1E1D" w:rsidRDefault="00ED11DF" w:rsidP="00471A3D">
            <w:pPr>
              <w:pStyle w:val="TAL"/>
            </w:pPr>
            <w:r w:rsidRPr="007D1E1D">
              <w:t>for scheduling type B</w:t>
            </w:r>
          </w:p>
        </w:tc>
      </w:tr>
      <w:tr w:rsidR="00ED11DF" w:rsidRPr="007D1E1D" w14:paraId="32410F7B" w14:textId="77777777" w:rsidTr="00471A3D">
        <w:trPr>
          <w:tblHeader/>
          <w:jc w:val="center"/>
        </w:trPr>
        <w:tc>
          <w:tcPr>
            <w:tcW w:w="3256" w:type="dxa"/>
            <w:vMerge/>
            <w:tcBorders>
              <w:left w:val="single" w:sz="4" w:space="0" w:color="auto"/>
              <w:right w:val="single" w:sz="4" w:space="0" w:color="auto"/>
            </w:tcBorders>
          </w:tcPr>
          <w:p w14:paraId="20B708FD" w14:textId="77777777" w:rsidR="00ED11DF" w:rsidRPr="007D1E1D" w:rsidRDefault="00ED11DF" w:rsidP="00471A3D">
            <w:pPr>
              <w:pStyle w:val="TAL"/>
            </w:pPr>
          </w:p>
        </w:tc>
        <w:tc>
          <w:tcPr>
            <w:tcW w:w="1134" w:type="dxa"/>
            <w:tcBorders>
              <w:left w:val="single" w:sz="4" w:space="0" w:color="auto"/>
              <w:right w:val="single" w:sz="4" w:space="0" w:color="auto"/>
            </w:tcBorders>
          </w:tcPr>
          <w:p w14:paraId="28E084CA" w14:textId="77777777" w:rsidR="00ED11DF" w:rsidRPr="007D1E1D" w:rsidRDefault="00ED11DF" w:rsidP="00471A3D">
            <w:pPr>
              <w:pStyle w:val="TAL"/>
            </w:pPr>
            <w:r w:rsidRPr="007D1E1D">
              <w:t>2-12</w:t>
            </w:r>
          </w:p>
        </w:tc>
        <w:tc>
          <w:tcPr>
            <w:tcW w:w="5249" w:type="dxa"/>
            <w:tcBorders>
              <w:top w:val="single" w:sz="4" w:space="0" w:color="auto"/>
              <w:left w:val="single" w:sz="4" w:space="0" w:color="auto"/>
              <w:bottom w:val="single" w:sz="4" w:space="0" w:color="auto"/>
              <w:right w:val="single" w:sz="4" w:space="0" w:color="auto"/>
            </w:tcBorders>
          </w:tcPr>
          <w:p w14:paraId="4852F9AC" w14:textId="77777777" w:rsidR="00ED11DF" w:rsidRPr="007D1E1D" w:rsidRDefault="00ED11DF" w:rsidP="00471A3D">
            <w:pPr>
              <w:pStyle w:val="TAL"/>
            </w:pPr>
            <w:r w:rsidRPr="007D1E1D">
              <w:t>Basic PUSCH transmission</w:t>
            </w:r>
          </w:p>
        </w:tc>
      </w:tr>
      <w:tr w:rsidR="00ED11DF" w:rsidRPr="007D1E1D" w14:paraId="6DE97DAD" w14:textId="77777777" w:rsidTr="00471A3D">
        <w:trPr>
          <w:tblHeader/>
          <w:jc w:val="center"/>
        </w:trPr>
        <w:tc>
          <w:tcPr>
            <w:tcW w:w="3256" w:type="dxa"/>
            <w:vMerge/>
            <w:tcBorders>
              <w:left w:val="single" w:sz="4" w:space="0" w:color="auto"/>
              <w:right w:val="single" w:sz="4" w:space="0" w:color="auto"/>
            </w:tcBorders>
          </w:tcPr>
          <w:p w14:paraId="04FBACEA" w14:textId="77777777" w:rsidR="00ED11DF" w:rsidRPr="007D1E1D" w:rsidRDefault="00ED11DF" w:rsidP="00471A3D">
            <w:pPr>
              <w:pStyle w:val="TAL"/>
            </w:pPr>
          </w:p>
        </w:tc>
        <w:tc>
          <w:tcPr>
            <w:tcW w:w="1134" w:type="dxa"/>
            <w:tcBorders>
              <w:left w:val="single" w:sz="4" w:space="0" w:color="auto"/>
              <w:right w:val="single" w:sz="4" w:space="0" w:color="auto"/>
            </w:tcBorders>
          </w:tcPr>
          <w:p w14:paraId="46254E92" w14:textId="77777777" w:rsidR="00ED11DF" w:rsidRPr="007D1E1D" w:rsidRDefault="00ED11DF" w:rsidP="00471A3D">
            <w:pPr>
              <w:pStyle w:val="TAL"/>
            </w:pPr>
            <w:r w:rsidRPr="007D1E1D">
              <w:t>2-16</w:t>
            </w:r>
          </w:p>
        </w:tc>
        <w:tc>
          <w:tcPr>
            <w:tcW w:w="5249" w:type="dxa"/>
            <w:tcBorders>
              <w:top w:val="single" w:sz="4" w:space="0" w:color="auto"/>
              <w:left w:val="single" w:sz="4" w:space="0" w:color="auto"/>
              <w:bottom w:val="single" w:sz="4" w:space="0" w:color="auto"/>
              <w:right w:val="single" w:sz="4" w:space="0" w:color="auto"/>
            </w:tcBorders>
          </w:tcPr>
          <w:p w14:paraId="20440E68" w14:textId="77777777" w:rsidR="00ED11DF" w:rsidRPr="007D1E1D" w:rsidRDefault="00ED11DF" w:rsidP="00471A3D">
            <w:pPr>
              <w:pStyle w:val="TAL"/>
            </w:pPr>
            <w:r w:rsidRPr="007D1E1D">
              <w:t>Basic uplink DMRS (uplink) for scheduling type A</w:t>
            </w:r>
          </w:p>
        </w:tc>
      </w:tr>
      <w:tr w:rsidR="00ED11DF" w:rsidRPr="007D1E1D" w14:paraId="5367B91F" w14:textId="77777777" w:rsidTr="00471A3D">
        <w:trPr>
          <w:tblHeader/>
          <w:jc w:val="center"/>
        </w:trPr>
        <w:tc>
          <w:tcPr>
            <w:tcW w:w="3256" w:type="dxa"/>
            <w:vMerge/>
            <w:tcBorders>
              <w:left w:val="single" w:sz="4" w:space="0" w:color="auto"/>
              <w:right w:val="single" w:sz="4" w:space="0" w:color="auto"/>
            </w:tcBorders>
          </w:tcPr>
          <w:p w14:paraId="31874425" w14:textId="77777777" w:rsidR="00ED11DF" w:rsidRPr="007D1E1D" w:rsidRDefault="00ED11DF" w:rsidP="00471A3D">
            <w:pPr>
              <w:pStyle w:val="TAL"/>
            </w:pPr>
          </w:p>
        </w:tc>
        <w:tc>
          <w:tcPr>
            <w:tcW w:w="1134" w:type="dxa"/>
            <w:tcBorders>
              <w:left w:val="single" w:sz="4" w:space="0" w:color="auto"/>
              <w:right w:val="single" w:sz="4" w:space="0" w:color="auto"/>
            </w:tcBorders>
          </w:tcPr>
          <w:p w14:paraId="2D4E014E" w14:textId="77777777" w:rsidR="00ED11DF" w:rsidRPr="007D1E1D" w:rsidRDefault="00ED11DF" w:rsidP="00471A3D">
            <w:pPr>
              <w:pStyle w:val="TAL"/>
            </w:pPr>
            <w:r w:rsidRPr="007D1E1D">
              <w:t>2-16a</w:t>
            </w:r>
          </w:p>
        </w:tc>
        <w:tc>
          <w:tcPr>
            <w:tcW w:w="5249" w:type="dxa"/>
            <w:tcBorders>
              <w:top w:val="single" w:sz="4" w:space="0" w:color="auto"/>
              <w:left w:val="single" w:sz="4" w:space="0" w:color="auto"/>
              <w:bottom w:val="single" w:sz="4" w:space="0" w:color="auto"/>
              <w:right w:val="single" w:sz="4" w:space="0" w:color="auto"/>
            </w:tcBorders>
          </w:tcPr>
          <w:p w14:paraId="2494DA37" w14:textId="77777777" w:rsidR="00ED11DF" w:rsidRPr="007D1E1D" w:rsidRDefault="00ED11DF" w:rsidP="00471A3D">
            <w:pPr>
              <w:pStyle w:val="TAL"/>
            </w:pPr>
            <w:r w:rsidRPr="007D1E1D">
              <w:t>Basic uplink DMRS</w:t>
            </w:r>
          </w:p>
          <w:p w14:paraId="7D843164" w14:textId="77777777" w:rsidR="00ED11DF" w:rsidRPr="007D1E1D" w:rsidRDefault="00ED11DF" w:rsidP="00471A3D">
            <w:pPr>
              <w:pStyle w:val="TAL"/>
            </w:pPr>
            <w:r w:rsidRPr="007D1E1D">
              <w:t>for scheduling type B</w:t>
            </w:r>
          </w:p>
        </w:tc>
      </w:tr>
      <w:tr w:rsidR="00ED11DF" w:rsidRPr="007D1E1D" w14:paraId="038D50EC" w14:textId="77777777" w:rsidTr="00471A3D">
        <w:trPr>
          <w:tblHeader/>
          <w:jc w:val="center"/>
        </w:trPr>
        <w:tc>
          <w:tcPr>
            <w:tcW w:w="3256" w:type="dxa"/>
            <w:vMerge/>
            <w:tcBorders>
              <w:left w:val="single" w:sz="4" w:space="0" w:color="auto"/>
              <w:right w:val="single" w:sz="4" w:space="0" w:color="auto"/>
            </w:tcBorders>
          </w:tcPr>
          <w:p w14:paraId="4D35B466" w14:textId="77777777" w:rsidR="00ED11DF" w:rsidRPr="007D1E1D" w:rsidRDefault="00ED11DF" w:rsidP="00471A3D">
            <w:pPr>
              <w:pStyle w:val="TAL"/>
            </w:pPr>
          </w:p>
        </w:tc>
        <w:tc>
          <w:tcPr>
            <w:tcW w:w="1134" w:type="dxa"/>
            <w:tcBorders>
              <w:left w:val="single" w:sz="4" w:space="0" w:color="auto"/>
              <w:right w:val="single" w:sz="4" w:space="0" w:color="auto"/>
            </w:tcBorders>
          </w:tcPr>
          <w:p w14:paraId="20569A9A" w14:textId="77777777" w:rsidR="00ED11DF" w:rsidRPr="007D1E1D" w:rsidRDefault="00ED11DF" w:rsidP="00471A3D">
            <w:pPr>
              <w:pStyle w:val="TAL"/>
            </w:pPr>
            <w:r w:rsidRPr="007D1E1D">
              <w:t>2-22</w:t>
            </w:r>
          </w:p>
        </w:tc>
        <w:tc>
          <w:tcPr>
            <w:tcW w:w="5249" w:type="dxa"/>
            <w:tcBorders>
              <w:top w:val="single" w:sz="4" w:space="0" w:color="auto"/>
              <w:left w:val="single" w:sz="4" w:space="0" w:color="auto"/>
              <w:bottom w:val="single" w:sz="4" w:space="0" w:color="auto"/>
              <w:right w:val="single" w:sz="4" w:space="0" w:color="auto"/>
            </w:tcBorders>
          </w:tcPr>
          <w:p w14:paraId="3575CEDA" w14:textId="77777777" w:rsidR="00ED11DF" w:rsidRPr="007D1E1D" w:rsidRDefault="00ED11DF" w:rsidP="00471A3D">
            <w:pPr>
              <w:pStyle w:val="TAL"/>
            </w:pPr>
            <w:r w:rsidRPr="007D1E1D">
              <w:t>Aperiodic beam report</w:t>
            </w:r>
          </w:p>
        </w:tc>
      </w:tr>
      <w:tr w:rsidR="00ED11DF" w:rsidRPr="007D1E1D" w14:paraId="252AAD4F" w14:textId="77777777" w:rsidTr="00471A3D">
        <w:trPr>
          <w:tblHeader/>
          <w:jc w:val="center"/>
        </w:trPr>
        <w:tc>
          <w:tcPr>
            <w:tcW w:w="3256" w:type="dxa"/>
            <w:vMerge/>
            <w:tcBorders>
              <w:left w:val="single" w:sz="4" w:space="0" w:color="auto"/>
              <w:right w:val="single" w:sz="4" w:space="0" w:color="auto"/>
            </w:tcBorders>
          </w:tcPr>
          <w:p w14:paraId="5F662B66" w14:textId="77777777" w:rsidR="00ED11DF" w:rsidRPr="007D1E1D" w:rsidRDefault="00ED11DF" w:rsidP="00471A3D">
            <w:pPr>
              <w:pStyle w:val="TAL"/>
            </w:pPr>
          </w:p>
        </w:tc>
        <w:tc>
          <w:tcPr>
            <w:tcW w:w="1134" w:type="dxa"/>
            <w:tcBorders>
              <w:left w:val="single" w:sz="4" w:space="0" w:color="auto"/>
              <w:right w:val="single" w:sz="4" w:space="0" w:color="auto"/>
            </w:tcBorders>
          </w:tcPr>
          <w:p w14:paraId="6D9BD4B3" w14:textId="77777777" w:rsidR="00ED11DF" w:rsidRPr="007D1E1D" w:rsidRDefault="00ED11DF" w:rsidP="00471A3D">
            <w:pPr>
              <w:pStyle w:val="TAL"/>
            </w:pPr>
            <w:r w:rsidRPr="007D1E1D">
              <w:t>2-32</w:t>
            </w:r>
          </w:p>
        </w:tc>
        <w:tc>
          <w:tcPr>
            <w:tcW w:w="5249" w:type="dxa"/>
            <w:tcBorders>
              <w:top w:val="single" w:sz="4" w:space="0" w:color="auto"/>
              <w:left w:val="single" w:sz="4" w:space="0" w:color="auto"/>
              <w:bottom w:val="single" w:sz="4" w:space="0" w:color="auto"/>
              <w:right w:val="single" w:sz="4" w:space="0" w:color="auto"/>
            </w:tcBorders>
          </w:tcPr>
          <w:p w14:paraId="0E3BBF68" w14:textId="77777777" w:rsidR="00ED11DF" w:rsidRPr="007D1E1D" w:rsidRDefault="00ED11DF" w:rsidP="00471A3D">
            <w:pPr>
              <w:pStyle w:val="TAL"/>
            </w:pPr>
            <w:r w:rsidRPr="007D1E1D">
              <w:t>Basic CSI feedback</w:t>
            </w:r>
          </w:p>
        </w:tc>
      </w:tr>
      <w:tr w:rsidR="00ED11DF" w:rsidRPr="007D1E1D" w14:paraId="5988259E" w14:textId="77777777" w:rsidTr="00471A3D">
        <w:trPr>
          <w:tblHeader/>
          <w:jc w:val="center"/>
        </w:trPr>
        <w:tc>
          <w:tcPr>
            <w:tcW w:w="3256" w:type="dxa"/>
            <w:vMerge/>
            <w:tcBorders>
              <w:left w:val="single" w:sz="4" w:space="0" w:color="auto"/>
              <w:right w:val="single" w:sz="4" w:space="0" w:color="auto"/>
            </w:tcBorders>
          </w:tcPr>
          <w:p w14:paraId="71476FD6" w14:textId="77777777" w:rsidR="00ED11DF" w:rsidRPr="007D1E1D" w:rsidRDefault="00ED11DF" w:rsidP="00471A3D">
            <w:pPr>
              <w:pStyle w:val="TAL"/>
            </w:pPr>
          </w:p>
        </w:tc>
        <w:tc>
          <w:tcPr>
            <w:tcW w:w="1134" w:type="dxa"/>
            <w:tcBorders>
              <w:left w:val="single" w:sz="4" w:space="0" w:color="auto"/>
              <w:right w:val="single" w:sz="4" w:space="0" w:color="auto"/>
            </w:tcBorders>
          </w:tcPr>
          <w:p w14:paraId="5C9A5129" w14:textId="77777777" w:rsidR="00ED11DF" w:rsidRPr="007D1E1D" w:rsidRDefault="00ED11DF" w:rsidP="00471A3D">
            <w:pPr>
              <w:pStyle w:val="TAL"/>
            </w:pPr>
            <w:r w:rsidRPr="007D1E1D">
              <w:t>2-50</w:t>
            </w:r>
          </w:p>
        </w:tc>
        <w:tc>
          <w:tcPr>
            <w:tcW w:w="5249" w:type="dxa"/>
            <w:tcBorders>
              <w:top w:val="single" w:sz="4" w:space="0" w:color="auto"/>
              <w:left w:val="single" w:sz="4" w:space="0" w:color="auto"/>
              <w:bottom w:val="single" w:sz="4" w:space="0" w:color="auto"/>
              <w:right w:val="single" w:sz="4" w:space="0" w:color="auto"/>
            </w:tcBorders>
          </w:tcPr>
          <w:p w14:paraId="27288BCE" w14:textId="77777777" w:rsidR="00ED11DF" w:rsidRPr="007D1E1D" w:rsidRDefault="00ED11DF" w:rsidP="00471A3D">
            <w:pPr>
              <w:pStyle w:val="TAL"/>
            </w:pPr>
            <w:r w:rsidRPr="007D1E1D">
              <w:t>Basic TRS</w:t>
            </w:r>
          </w:p>
        </w:tc>
      </w:tr>
      <w:tr w:rsidR="00ED11DF" w:rsidRPr="007D1E1D" w14:paraId="4DA59E02" w14:textId="77777777" w:rsidTr="00471A3D">
        <w:trPr>
          <w:tblHeader/>
          <w:jc w:val="center"/>
        </w:trPr>
        <w:tc>
          <w:tcPr>
            <w:tcW w:w="3256" w:type="dxa"/>
            <w:vMerge/>
            <w:tcBorders>
              <w:left w:val="single" w:sz="4" w:space="0" w:color="auto"/>
              <w:bottom w:val="single" w:sz="4" w:space="0" w:color="auto"/>
              <w:right w:val="single" w:sz="4" w:space="0" w:color="auto"/>
            </w:tcBorders>
          </w:tcPr>
          <w:p w14:paraId="5717F8B0" w14:textId="77777777" w:rsidR="00ED11DF" w:rsidRPr="007D1E1D" w:rsidRDefault="00ED11DF" w:rsidP="00471A3D">
            <w:pPr>
              <w:pStyle w:val="TAL"/>
            </w:pPr>
          </w:p>
        </w:tc>
        <w:tc>
          <w:tcPr>
            <w:tcW w:w="1134" w:type="dxa"/>
            <w:tcBorders>
              <w:left w:val="single" w:sz="4" w:space="0" w:color="auto"/>
              <w:right w:val="single" w:sz="4" w:space="0" w:color="auto"/>
            </w:tcBorders>
          </w:tcPr>
          <w:p w14:paraId="4DAC4D0E" w14:textId="77777777" w:rsidR="00ED11DF" w:rsidRPr="007D1E1D" w:rsidRDefault="00ED11DF" w:rsidP="00471A3D">
            <w:pPr>
              <w:pStyle w:val="TAL"/>
            </w:pPr>
            <w:r w:rsidRPr="007D1E1D">
              <w:t>2-52</w:t>
            </w:r>
          </w:p>
        </w:tc>
        <w:tc>
          <w:tcPr>
            <w:tcW w:w="5249" w:type="dxa"/>
            <w:tcBorders>
              <w:top w:val="single" w:sz="4" w:space="0" w:color="auto"/>
              <w:left w:val="single" w:sz="4" w:space="0" w:color="auto"/>
              <w:bottom w:val="single" w:sz="4" w:space="0" w:color="auto"/>
              <w:right w:val="single" w:sz="4" w:space="0" w:color="auto"/>
            </w:tcBorders>
          </w:tcPr>
          <w:p w14:paraId="6614F91C" w14:textId="77777777" w:rsidR="00ED11DF" w:rsidRPr="007D1E1D" w:rsidRDefault="00ED11DF" w:rsidP="00471A3D">
            <w:pPr>
              <w:pStyle w:val="TAL"/>
            </w:pPr>
            <w:r w:rsidRPr="007D1E1D">
              <w:t>Basic SRS</w:t>
            </w:r>
          </w:p>
        </w:tc>
      </w:tr>
      <w:tr w:rsidR="00ED11DF" w:rsidRPr="007D1E1D" w14:paraId="0A606AF4" w14:textId="77777777" w:rsidTr="00471A3D">
        <w:trPr>
          <w:tblHeader/>
          <w:jc w:val="center"/>
        </w:trPr>
        <w:tc>
          <w:tcPr>
            <w:tcW w:w="3256" w:type="dxa"/>
            <w:tcBorders>
              <w:left w:val="single" w:sz="4" w:space="0" w:color="auto"/>
              <w:right w:val="single" w:sz="4" w:space="0" w:color="auto"/>
            </w:tcBorders>
          </w:tcPr>
          <w:p w14:paraId="65AB8FB6" w14:textId="77777777" w:rsidR="00ED11DF" w:rsidRPr="007D1E1D" w:rsidRDefault="00ED11DF" w:rsidP="00471A3D">
            <w:pPr>
              <w:pStyle w:val="TAL"/>
            </w:pPr>
            <w:r w:rsidRPr="007D1E1D">
              <w:t>3. DL control channel and procedure</w:t>
            </w:r>
          </w:p>
        </w:tc>
        <w:tc>
          <w:tcPr>
            <w:tcW w:w="1134" w:type="dxa"/>
            <w:tcBorders>
              <w:left w:val="single" w:sz="4" w:space="0" w:color="auto"/>
              <w:right w:val="single" w:sz="4" w:space="0" w:color="auto"/>
            </w:tcBorders>
          </w:tcPr>
          <w:p w14:paraId="01B522EC" w14:textId="77777777" w:rsidR="00ED11DF" w:rsidRPr="007D1E1D" w:rsidRDefault="00ED11DF" w:rsidP="00471A3D">
            <w:pPr>
              <w:pStyle w:val="TAL"/>
            </w:pPr>
            <w:r w:rsidRPr="007D1E1D">
              <w:t>3-1</w:t>
            </w:r>
          </w:p>
        </w:tc>
        <w:tc>
          <w:tcPr>
            <w:tcW w:w="5249" w:type="dxa"/>
            <w:tcBorders>
              <w:top w:val="single" w:sz="4" w:space="0" w:color="auto"/>
              <w:left w:val="single" w:sz="4" w:space="0" w:color="auto"/>
              <w:bottom w:val="single" w:sz="4" w:space="0" w:color="auto"/>
              <w:right w:val="single" w:sz="4" w:space="0" w:color="auto"/>
            </w:tcBorders>
          </w:tcPr>
          <w:p w14:paraId="1D095722" w14:textId="77777777" w:rsidR="00ED11DF" w:rsidRPr="007D1E1D" w:rsidRDefault="00ED11DF" w:rsidP="00471A3D">
            <w:pPr>
              <w:pStyle w:val="TAL"/>
            </w:pPr>
            <w:r w:rsidRPr="007D1E1D">
              <w:t>Basic DL control channel</w:t>
            </w:r>
          </w:p>
        </w:tc>
      </w:tr>
      <w:tr w:rsidR="00ED11DF" w:rsidRPr="007D1E1D" w14:paraId="67FA0151" w14:textId="77777777" w:rsidTr="00471A3D">
        <w:trPr>
          <w:tblHeader/>
          <w:jc w:val="center"/>
        </w:trPr>
        <w:tc>
          <w:tcPr>
            <w:tcW w:w="3256" w:type="dxa"/>
            <w:vMerge w:val="restart"/>
            <w:tcBorders>
              <w:left w:val="single" w:sz="4" w:space="0" w:color="auto"/>
              <w:right w:val="single" w:sz="4" w:space="0" w:color="auto"/>
            </w:tcBorders>
          </w:tcPr>
          <w:p w14:paraId="2FF3D494" w14:textId="77777777" w:rsidR="00ED11DF" w:rsidRPr="007D1E1D" w:rsidRDefault="00ED11DF" w:rsidP="00471A3D">
            <w:pPr>
              <w:pStyle w:val="TAL"/>
            </w:pPr>
            <w:r w:rsidRPr="007D1E1D">
              <w:t>4. UL control channel and procedure</w:t>
            </w:r>
          </w:p>
        </w:tc>
        <w:tc>
          <w:tcPr>
            <w:tcW w:w="1134" w:type="dxa"/>
            <w:tcBorders>
              <w:left w:val="single" w:sz="4" w:space="0" w:color="auto"/>
              <w:right w:val="single" w:sz="4" w:space="0" w:color="auto"/>
            </w:tcBorders>
          </w:tcPr>
          <w:p w14:paraId="382F059C" w14:textId="77777777" w:rsidR="00ED11DF" w:rsidRPr="007D1E1D" w:rsidRDefault="00ED11DF" w:rsidP="00471A3D">
            <w:pPr>
              <w:pStyle w:val="TAL"/>
            </w:pPr>
            <w:r w:rsidRPr="007D1E1D">
              <w:t>4-1</w:t>
            </w:r>
          </w:p>
        </w:tc>
        <w:tc>
          <w:tcPr>
            <w:tcW w:w="5249" w:type="dxa"/>
            <w:tcBorders>
              <w:top w:val="single" w:sz="4" w:space="0" w:color="auto"/>
              <w:left w:val="single" w:sz="4" w:space="0" w:color="auto"/>
              <w:bottom w:val="single" w:sz="4" w:space="0" w:color="auto"/>
              <w:right w:val="single" w:sz="4" w:space="0" w:color="auto"/>
            </w:tcBorders>
          </w:tcPr>
          <w:p w14:paraId="7EF71553" w14:textId="77777777" w:rsidR="00ED11DF" w:rsidRPr="007D1E1D" w:rsidRDefault="00ED11DF" w:rsidP="00471A3D">
            <w:pPr>
              <w:pStyle w:val="TAL"/>
            </w:pPr>
            <w:r w:rsidRPr="007D1E1D">
              <w:t>Basic UL control channel</w:t>
            </w:r>
          </w:p>
        </w:tc>
      </w:tr>
      <w:tr w:rsidR="00ED11DF" w:rsidRPr="007D1E1D" w14:paraId="7A305E3A" w14:textId="77777777" w:rsidTr="00471A3D">
        <w:trPr>
          <w:tblHeader/>
          <w:jc w:val="center"/>
        </w:trPr>
        <w:tc>
          <w:tcPr>
            <w:tcW w:w="3256" w:type="dxa"/>
            <w:vMerge/>
            <w:tcBorders>
              <w:left w:val="single" w:sz="4" w:space="0" w:color="auto"/>
              <w:right w:val="single" w:sz="4" w:space="0" w:color="auto"/>
            </w:tcBorders>
          </w:tcPr>
          <w:p w14:paraId="7D117D7A" w14:textId="77777777" w:rsidR="00ED11DF" w:rsidRPr="007D1E1D" w:rsidRDefault="00ED11DF" w:rsidP="00471A3D">
            <w:pPr>
              <w:pStyle w:val="TAL"/>
            </w:pPr>
          </w:p>
        </w:tc>
        <w:tc>
          <w:tcPr>
            <w:tcW w:w="1134" w:type="dxa"/>
            <w:tcBorders>
              <w:left w:val="single" w:sz="4" w:space="0" w:color="auto"/>
              <w:right w:val="single" w:sz="4" w:space="0" w:color="auto"/>
            </w:tcBorders>
          </w:tcPr>
          <w:p w14:paraId="2307B798" w14:textId="77777777" w:rsidR="00ED11DF" w:rsidRPr="007D1E1D" w:rsidRDefault="00ED11DF" w:rsidP="00471A3D">
            <w:pPr>
              <w:pStyle w:val="TAL"/>
            </w:pPr>
            <w:r w:rsidRPr="007D1E1D">
              <w:t>4-10</w:t>
            </w:r>
          </w:p>
        </w:tc>
        <w:tc>
          <w:tcPr>
            <w:tcW w:w="5249" w:type="dxa"/>
            <w:tcBorders>
              <w:top w:val="single" w:sz="4" w:space="0" w:color="auto"/>
              <w:left w:val="single" w:sz="4" w:space="0" w:color="auto"/>
              <w:bottom w:val="single" w:sz="4" w:space="0" w:color="auto"/>
              <w:right w:val="single" w:sz="4" w:space="0" w:color="auto"/>
            </w:tcBorders>
          </w:tcPr>
          <w:p w14:paraId="7A1B08DF" w14:textId="77777777" w:rsidR="00ED11DF" w:rsidRPr="007D1E1D" w:rsidRDefault="00ED11DF" w:rsidP="00471A3D">
            <w:pPr>
              <w:pStyle w:val="TAL"/>
            </w:pPr>
            <w:r w:rsidRPr="007D1E1D">
              <w:t>Dynamic HARQ-ACK codebook</w:t>
            </w:r>
          </w:p>
        </w:tc>
      </w:tr>
      <w:tr w:rsidR="00ED11DF" w:rsidRPr="007D1E1D" w14:paraId="40DE154A" w14:textId="77777777" w:rsidTr="00471A3D">
        <w:trPr>
          <w:tblHeader/>
          <w:jc w:val="center"/>
        </w:trPr>
        <w:tc>
          <w:tcPr>
            <w:tcW w:w="3256" w:type="dxa"/>
            <w:tcBorders>
              <w:left w:val="single" w:sz="4" w:space="0" w:color="auto"/>
              <w:right w:val="single" w:sz="4" w:space="0" w:color="auto"/>
            </w:tcBorders>
          </w:tcPr>
          <w:p w14:paraId="2C9BC3CB" w14:textId="77777777" w:rsidR="00ED11DF" w:rsidRPr="007D1E1D" w:rsidRDefault="00ED11DF" w:rsidP="00471A3D">
            <w:pPr>
              <w:pStyle w:val="TAL"/>
            </w:pPr>
            <w:r w:rsidRPr="007D1E1D">
              <w:t>5. Scheduling/HARQ operation</w:t>
            </w:r>
          </w:p>
        </w:tc>
        <w:tc>
          <w:tcPr>
            <w:tcW w:w="1134" w:type="dxa"/>
            <w:tcBorders>
              <w:left w:val="single" w:sz="4" w:space="0" w:color="auto"/>
              <w:right w:val="single" w:sz="4" w:space="0" w:color="auto"/>
            </w:tcBorders>
          </w:tcPr>
          <w:p w14:paraId="6EB30BCC" w14:textId="77777777" w:rsidR="00ED11DF" w:rsidRPr="007D1E1D" w:rsidRDefault="00ED11DF" w:rsidP="00471A3D">
            <w:pPr>
              <w:pStyle w:val="TAL"/>
            </w:pPr>
            <w:r w:rsidRPr="007D1E1D">
              <w:t>5-1</w:t>
            </w:r>
          </w:p>
        </w:tc>
        <w:tc>
          <w:tcPr>
            <w:tcW w:w="5249" w:type="dxa"/>
            <w:tcBorders>
              <w:top w:val="single" w:sz="4" w:space="0" w:color="auto"/>
              <w:left w:val="single" w:sz="4" w:space="0" w:color="auto"/>
              <w:bottom w:val="single" w:sz="4" w:space="0" w:color="auto"/>
              <w:right w:val="single" w:sz="4" w:space="0" w:color="auto"/>
            </w:tcBorders>
          </w:tcPr>
          <w:p w14:paraId="65D89522" w14:textId="77777777" w:rsidR="00ED11DF" w:rsidRPr="007D1E1D" w:rsidRDefault="00ED11DF" w:rsidP="00471A3D">
            <w:pPr>
              <w:pStyle w:val="TAL"/>
            </w:pPr>
            <w:r w:rsidRPr="007D1E1D">
              <w:t>Basic scheduling/HARQ operation</w:t>
            </w:r>
          </w:p>
        </w:tc>
      </w:tr>
      <w:tr w:rsidR="00ED11DF" w:rsidRPr="007D1E1D" w14:paraId="3F923F09" w14:textId="77777777" w:rsidTr="00471A3D">
        <w:trPr>
          <w:tblHeader/>
          <w:jc w:val="center"/>
        </w:trPr>
        <w:tc>
          <w:tcPr>
            <w:tcW w:w="3256" w:type="dxa"/>
            <w:tcBorders>
              <w:left w:val="single" w:sz="4" w:space="0" w:color="auto"/>
              <w:right w:val="single" w:sz="4" w:space="0" w:color="auto"/>
            </w:tcBorders>
          </w:tcPr>
          <w:p w14:paraId="22E38CDB" w14:textId="77777777" w:rsidR="00ED11DF" w:rsidRPr="007D1E1D" w:rsidRDefault="00ED11DF" w:rsidP="00471A3D">
            <w:pPr>
              <w:pStyle w:val="TAL"/>
            </w:pPr>
            <w:r w:rsidRPr="007D1E1D">
              <w:t>6. CA/DC, BWP, SUL</w:t>
            </w:r>
          </w:p>
        </w:tc>
        <w:tc>
          <w:tcPr>
            <w:tcW w:w="1134" w:type="dxa"/>
            <w:tcBorders>
              <w:left w:val="single" w:sz="4" w:space="0" w:color="auto"/>
              <w:right w:val="single" w:sz="4" w:space="0" w:color="auto"/>
            </w:tcBorders>
          </w:tcPr>
          <w:p w14:paraId="0E9F604A" w14:textId="77777777" w:rsidR="00ED11DF" w:rsidRPr="007D1E1D" w:rsidRDefault="00ED11DF" w:rsidP="00471A3D">
            <w:pPr>
              <w:pStyle w:val="TAL"/>
            </w:pPr>
            <w:r w:rsidRPr="007D1E1D">
              <w:t>6-1</w:t>
            </w:r>
          </w:p>
        </w:tc>
        <w:tc>
          <w:tcPr>
            <w:tcW w:w="5249" w:type="dxa"/>
            <w:tcBorders>
              <w:top w:val="single" w:sz="4" w:space="0" w:color="auto"/>
              <w:left w:val="single" w:sz="4" w:space="0" w:color="auto"/>
              <w:bottom w:val="single" w:sz="4" w:space="0" w:color="auto"/>
              <w:right w:val="single" w:sz="4" w:space="0" w:color="auto"/>
            </w:tcBorders>
          </w:tcPr>
          <w:p w14:paraId="133DA93D" w14:textId="77777777" w:rsidR="00ED11DF" w:rsidRPr="007D1E1D" w:rsidRDefault="00ED11DF" w:rsidP="00471A3D">
            <w:pPr>
              <w:pStyle w:val="TAL"/>
            </w:pPr>
            <w:r w:rsidRPr="007D1E1D">
              <w:t>Basic BWP operation with restriction</w:t>
            </w:r>
          </w:p>
        </w:tc>
      </w:tr>
      <w:tr w:rsidR="00ED11DF" w:rsidRPr="007D1E1D" w14:paraId="5F185094" w14:textId="77777777" w:rsidTr="00471A3D">
        <w:trPr>
          <w:tblHeader/>
          <w:jc w:val="center"/>
        </w:trPr>
        <w:tc>
          <w:tcPr>
            <w:tcW w:w="3256" w:type="dxa"/>
            <w:tcBorders>
              <w:left w:val="single" w:sz="4" w:space="0" w:color="auto"/>
              <w:right w:val="single" w:sz="4" w:space="0" w:color="auto"/>
            </w:tcBorders>
          </w:tcPr>
          <w:p w14:paraId="688906BF" w14:textId="77777777" w:rsidR="00ED11DF" w:rsidRPr="007D1E1D" w:rsidRDefault="00ED11DF" w:rsidP="00471A3D">
            <w:pPr>
              <w:pStyle w:val="TAL"/>
            </w:pPr>
            <w:r w:rsidRPr="007D1E1D">
              <w:t>7. Channel coding</w:t>
            </w:r>
          </w:p>
        </w:tc>
        <w:tc>
          <w:tcPr>
            <w:tcW w:w="1134" w:type="dxa"/>
            <w:tcBorders>
              <w:left w:val="single" w:sz="4" w:space="0" w:color="auto"/>
              <w:right w:val="single" w:sz="4" w:space="0" w:color="auto"/>
            </w:tcBorders>
          </w:tcPr>
          <w:p w14:paraId="6BD4BC5A" w14:textId="77777777" w:rsidR="00ED11DF" w:rsidRPr="007D1E1D" w:rsidRDefault="00ED11DF" w:rsidP="00471A3D">
            <w:pPr>
              <w:pStyle w:val="TAL"/>
            </w:pPr>
            <w:r w:rsidRPr="007D1E1D">
              <w:t>7-1</w:t>
            </w:r>
          </w:p>
        </w:tc>
        <w:tc>
          <w:tcPr>
            <w:tcW w:w="5249" w:type="dxa"/>
            <w:tcBorders>
              <w:top w:val="single" w:sz="4" w:space="0" w:color="auto"/>
              <w:left w:val="single" w:sz="4" w:space="0" w:color="auto"/>
              <w:bottom w:val="single" w:sz="4" w:space="0" w:color="auto"/>
              <w:right w:val="single" w:sz="4" w:space="0" w:color="auto"/>
            </w:tcBorders>
          </w:tcPr>
          <w:p w14:paraId="5B4AC945" w14:textId="77777777" w:rsidR="00ED11DF" w:rsidRPr="007D1E1D" w:rsidRDefault="00ED11DF" w:rsidP="00471A3D">
            <w:pPr>
              <w:pStyle w:val="TAL"/>
            </w:pPr>
            <w:r w:rsidRPr="007D1E1D">
              <w:t>Channel coding</w:t>
            </w:r>
          </w:p>
        </w:tc>
      </w:tr>
      <w:tr w:rsidR="00ED11DF" w:rsidRPr="007D1E1D" w14:paraId="29742878" w14:textId="77777777" w:rsidTr="00471A3D">
        <w:trPr>
          <w:tblHeader/>
          <w:jc w:val="center"/>
        </w:trPr>
        <w:tc>
          <w:tcPr>
            <w:tcW w:w="3256" w:type="dxa"/>
            <w:tcBorders>
              <w:left w:val="single" w:sz="4" w:space="0" w:color="auto"/>
              <w:bottom w:val="single" w:sz="4" w:space="0" w:color="auto"/>
              <w:right w:val="single" w:sz="4" w:space="0" w:color="auto"/>
            </w:tcBorders>
          </w:tcPr>
          <w:p w14:paraId="42D828EA" w14:textId="77777777" w:rsidR="00ED11DF" w:rsidRPr="007D1E1D" w:rsidRDefault="00ED11DF" w:rsidP="00471A3D">
            <w:pPr>
              <w:pStyle w:val="TAL"/>
            </w:pPr>
            <w:r w:rsidRPr="007D1E1D">
              <w:t>8. UL TPC</w:t>
            </w:r>
          </w:p>
        </w:tc>
        <w:tc>
          <w:tcPr>
            <w:tcW w:w="1134" w:type="dxa"/>
            <w:tcBorders>
              <w:left w:val="single" w:sz="4" w:space="0" w:color="auto"/>
              <w:bottom w:val="single" w:sz="4" w:space="0" w:color="auto"/>
              <w:right w:val="single" w:sz="4" w:space="0" w:color="auto"/>
            </w:tcBorders>
          </w:tcPr>
          <w:p w14:paraId="79A6691A" w14:textId="77777777" w:rsidR="00ED11DF" w:rsidRPr="007D1E1D" w:rsidRDefault="00ED11DF" w:rsidP="00471A3D">
            <w:pPr>
              <w:pStyle w:val="TAL"/>
            </w:pPr>
            <w:r w:rsidRPr="007D1E1D">
              <w:t>8-3</w:t>
            </w:r>
          </w:p>
        </w:tc>
        <w:tc>
          <w:tcPr>
            <w:tcW w:w="5249" w:type="dxa"/>
            <w:tcBorders>
              <w:top w:val="single" w:sz="4" w:space="0" w:color="auto"/>
              <w:left w:val="single" w:sz="4" w:space="0" w:color="auto"/>
              <w:bottom w:val="single" w:sz="4" w:space="0" w:color="auto"/>
              <w:right w:val="single" w:sz="4" w:space="0" w:color="auto"/>
            </w:tcBorders>
          </w:tcPr>
          <w:p w14:paraId="001B1152" w14:textId="77777777" w:rsidR="00ED11DF" w:rsidRPr="007D1E1D" w:rsidRDefault="00ED11DF" w:rsidP="00471A3D">
            <w:pPr>
              <w:pStyle w:val="TAL"/>
            </w:pPr>
            <w:r w:rsidRPr="007D1E1D">
              <w:t>Basic power control operation</w:t>
            </w:r>
          </w:p>
        </w:tc>
      </w:tr>
    </w:tbl>
    <w:p w14:paraId="0C8C3FE8" w14:textId="77777777" w:rsidR="00ED11DF" w:rsidRDefault="00ED11DF" w:rsidP="00164DDE">
      <w:pPr>
        <w:rPr>
          <w:rFonts w:eastAsia="바탕체"/>
          <w:lang w:val="en-US" w:eastAsia="ko-KR"/>
        </w:rPr>
      </w:pPr>
    </w:p>
    <w:p w14:paraId="655762BD" w14:textId="5B9080CA" w:rsidR="009E1026" w:rsidRDefault="009E1026" w:rsidP="00164DDE">
      <w:pPr>
        <w:rPr>
          <w:rFonts w:eastAsia="바탕체"/>
          <w:lang w:val="en-US" w:eastAsia="ko-KR"/>
        </w:rPr>
      </w:pPr>
      <w:r w:rsidRPr="009E1026">
        <w:rPr>
          <w:rFonts w:eastAsia="바탕체"/>
          <w:lang w:val="en-US" w:eastAsia="ko-KR"/>
        </w:rPr>
        <w:t>In addition, it is necessary to discuss the</w:t>
      </w:r>
      <w:r>
        <w:rPr>
          <w:rFonts w:eastAsia="바탕체"/>
          <w:lang w:val="en-US" w:eastAsia="ko-KR"/>
        </w:rPr>
        <w:t xml:space="preserve"> additional</w:t>
      </w:r>
      <w:r w:rsidRPr="009E1026">
        <w:rPr>
          <w:rFonts w:eastAsia="바탕체"/>
          <w:lang w:val="en-US" w:eastAsia="ko-KR"/>
        </w:rPr>
        <w:t xml:space="preserve"> features supported by NCR-MT among the remaining L1 features of Rel-15/16/17.</w:t>
      </w:r>
      <w:r>
        <w:rPr>
          <w:rFonts w:eastAsia="바탕체"/>
          <w:lang w:val="en-US" w:eastAsia="ko-KR"/>
        </w:rPr>
        <w:t xml:space="preserve"> </w:t>
      </w:r>
      <w:r w:rsidRPr="009E1026">
        <w:rPr>
          <w:rFonts w:eastAsia="바탕체"/>
          <w:lang w:val="en-US" w:eastAsia="ko-KR"/>
        </w:rPr>
        <w:t xml:space="preserve">Through this, it will be necessary to decide which features to </w:t>
      </w:r>
      <w:r>
        <w:rPr>
          <w:rFonts w:eastAsia="바탕체"/>
          <w:lang w:val="en-US" w:eastAsia="ko-KR"/>
        </w:rPr>
        <w:t xml:space="preserve">be </w:t>
      </w:r>
      <w:r w:rsidRPr="009E1026">
        <w:rPr>
          <w:rFonts w:eastAsia="바탕체"/>
          <w:lang w:val="en-US" w:eastAsia="ko-KR"/>
        </w:rPr>
        <w:t>additionally support</w:t>
      </w:r>
      <w:r>
        <w:rPr>
          <w:rFonts w:eastAsia="바탕체"/>
          <w:lang w:val="en-US" w:eastAsia="ko-KR"/>
        </w:rPr>
        <w:t>ed</w:t>
      </w:r>
      <w:r w:rsidRPr="009E1026">
        <w:rPr>
          <w:rFonts w:eastAsia="바탕체"/>
          <w:lang w:val="en-US" w:eastAsia="ko-KR"/>
        </w:rPr>
        <w:t xml:space="preserve"> for NCR-MT and whether support of each feature is mandatory or optional.</w:t>
      </w:r>
      <w:r>
        <w:rPr>
          <w:rFonts w:eastAsia="바탕체"/>
          <w:lang w:val="en-US" w:eastAsia="ko-KR"/>
        </w:rPr>
        <w:t xml:space="preserve"> </w:t>
      </w:r>
      <w:r w:rsidRPr="009E1026">
        <w:rPr>
          <w:rFonts w:eastAsia="바탕체"/>
          <w:lang w:val="en-US" w:eastAsia="ko-KR"/>
        </w:rPr>
        <w:t xml:space="preserve">For example, </w:t>
      </w:r>
      <w:r>
        <w:rPr>
          <w:rFonts w:eastAsia="바탕체"/>
          <w:lang w:val="en-US" w:eastAsia="ko-KR"/>
        </w:rPr>
        <w:t xml:space="preserve">it can be discussed </w:t>
      </w:r>
      <w:r w:rsidRPr="009E1026">
        <w:rPr>
          <w:rFonts w:eastAsia="바탕체"/>
          <w:lang w:val="en-US" w:eastAsia="ko-KR"/>
        </w:rPr>
        <w:t xml:space="preserve">whether TCI-related features including unified TCI introduced in Rel-17 FeMIMO need to be supported </w:t>
      </w:r>
      <w:r>
        <w:rPr>
          <w:rFonts w:eastAsia="바탕체"/>
          <w:lang w:val="en-US" w:eastAsia="ko-KR"/>
        </w:rPr>
        <w:t>for</w:t>
      </w:r>
      <w:r w:rsidRPr="009E1026">
        <w:rPr>
          <w:rFonts w:eastAsia="바탕체"/>
          <w:lang w:val="en-US" w:eastAsia="ko-KR"/>
        </w:rPr>
        <w:t xml:space="preserve"> beam indication of NCR-MT.</w:t>
      </w:r>
    </w:p>
    <w:p w14:paraId="3B64107C" w14:textId="77777777" w:rsidR="006275DB" w:rsidRDefault="006275DB" w:rsidP="006275DB">
      <w:pPr>
        <w:rPr>
          <w:rFonts w:eastAsia="바탕체"/>
          <w:lang w:val="en-US" w:eastAsia="ko-KR"/>
        </w:rPr>
      </w:pPr>
    </w:p>
    <w:p w14:paraId="1E89F03E" w14:textId="77777777" w:rsidR="002E7C6A" w:rsidRDefault="00ED11DF" w:rsidP="00164DDE">
      <w:pPr>
        <w:rPr>
          <w:rFonts w:eastAsia="바탕체"/>
          <w:b/>
          <w:i/>
          <w:lang w:val="en-US" w:eastAsia="ko-KR"/>
        </w:rPr>
      </w:pPr>
      <w:r w:rsidRPr="00ED11DF">
        <w:rPr>
          <w:rFonts w:eastAsia="바탕체" w:hint="eastAsia"/>
          <w:b/>
          <w:i/>
          <w:lang w:val="en-US" w:eastAsia="ko-KR"/>
        </w:rPr>
        <w:t xml:space="preserve">Proposal </w:t>
      </w:r>
      <w:r w:rsidRPr="00ED11DF">
        <w:rPr>
          <w:rFonts w:eastAsia="바탕체"/>
          <w:b/>
          <w:i/>
          <w:lang w:val="en-US" w:eastAsia="ko-KR"/>
        </w:rPr>
        <w:t xml:space="preserve">1: </w:t>
      </w:r>
      <w:r w:rsidR="002E7C6A">
        <w:rPr>
          <w:rFonts w:eastAsia="바탕체"/>
          <w:b/>
          <w:i/>
          <w:lang w:val="en-US" w:eastAsia="ko-KR"/>
        </w:rPr>
        <w:t>For L1 features supported for NCR-MT,</w:t>
      </w:r>
    </w:p>
    <w:p w14:paraId="72B284A1" w14:textId="77777777" w:rsidR="002E7C6A" w:rsidRDefault="009E1026" w:rsidP="002E7C6A">
      <w:pPr>
        <w:pStyle w:val="ac"/>
        <w:numPr>
          <w:ilvl w:val="0"/>
          <w:numId w:val="30"/>
        </w:numPr>
        <w:ind w:leftChars="0"/>
        <w:rPr>
          <w:rFonts w:eastAsia="바탕체"/>
          <w:b/>
          <w:i/>
          <w:lang w:val="en-US" w:eastAsia="ko-KR"/>
        </w:rPr>
      </w:pPr>
      <w:r w:rsidRPr="002E7C6A">
        <w:rPr>
          <w:rFonts w:eastAsia="바탕체"/>
          <w:b/>
          <w:i/>
          <w:lang w:val="en-US" w:eastAsia="ko-KR"/>
        </w:rPr>
        <w:lastRenderedPageBreak/>
        <w:t xml:space="preserve">As baseline, consider </w:t>
      </w:r>
      <w:r w:rsidR="00ED11DF" w:rsidRPr="002E7C6A">
        <w:rPr>
          <w:rFonts w:eastAsia="바탕체" w:hint="eastAsia"/>
          <w:b/>
          <w:i/>
          <w:lang w:val="en-US" w:eastAsia="ko-KR"/>
        </w:rPr>
        <w:t>L1</w:t>
      </w:r>
      <w:r w:rsidR="00ED11DF" w:rsidRPr="002E7C6A">
        <w:rPr>
          <w:rFonts w:eastAsia="바탕체"/>
          <w:b/>
          <w:i/>
          <w:lang w:val="en-US" w:eastAsia="ko-KR"/>
        </w:rPr>
        <w:t xml:space="preserve"> mandatory </w:t>
      </w:r>
      <w:r w:rsidR="00ED11DF" w:rsidRPr="002E7C6A">
        <w:rPr>
          <w:rFonts w:eastAsia="바탕체" w:hint="eastAsia"/>
          <w:b/>
          <w:i/>
          <w:lang w:val="en-US" w:eastAsia="ko-KR"/>
        </w:rPr>
        <w:t>feature</w:t>
      </w:r>
      <w:r w:rsidR="00ED11DF" w:rsidRPr="002E7C6A">
        <w:rPr>
          <w:rFonts w:eastAsia="바탕체"/>
          <w:b/>
          <w:i/>
          <w:lang w:val="en-US" w:eastAsia="ko-KR"/>
        </w:rPr>
        <w:t>s</w:t>
      </w:r>
      <w:r w:rsidRPr="002E7C6A">
        <w:rPr>
          <w:rFonts w:eastAsia="바탕체"/>
          <w:b/>
          <w:i/>
          <w:lang w:val="en-US" w:eastAsia="ko-KR"/>
        </w:rPr>
        <w:t xml:space="preserve"> for IAB-MT</w:t>
      </w:r>
      <w:r w:rsidR="00ED11DF" w:rsidRPr="002E7C6A">
        <w:rPr>
          <w:rFonts w:eastAsia="바탕체"/>
          <w:b/>
          <w:i/>
          <w:lang w:val="en-US" w:eastAsia="ko-KR"/>
        </w:rPr>
        <w:t xml:space="preserve"> </w:t>
      </w:r>
      <w:r w:rsidRPr="002E7C6A">
        <w:rPr>
          <w:rFonts w:eastAsia="바탕체"/>
          <w:b/>
          <w:i/>
          <w:lang w:val="en-US" w:eastAsia="ko-KR"/>
        </w:rPr>
        <w:t>in Table 4.2.15.1-1 of TS38.306 as mandatory features for IAB-MT.</w:t>
      </w:r>
      <w:r w:rsidR="002E7C6A" w:rsidRPr="002E7C6A">
        <w:rPr>
          <w:rFonts w:eastAsia="바탕체"/>
          <w:b/>
          <w:i/>
          <w:lang w:val="en-US" w:eastAsia="ko-KR"/>
        </w:rPr>
        <w:t xml:space="preserve"> </w:t>
      </w:r>
    </w:p>
    <w:p w14:paraId="20394F51" w14:textId="33A27643" w:rsidR="00ED11DF" w:rsidRPr="002E7C6A" w:rsidRDefault="002E7C6A" w:rsidP="002E7C6A">
      <w:pPr>
        <w:pStyle w:val="ac"/>
        <w:numPr>
          <w:ilvl w:val="0"/>
          <w:numId w:val="30"/>
        </w:numPr>
        <w:ind w:leftChars="0"/>
        <w:rPr>
          <w:rFonts w:eastAsia="바탕체"/>
          <w:b/>
          <w:i/>
          <w:lang w:val="en-US" w:eastAsia="ko-KR"/>
        </w:rPr>
      </w:pPr>
      <w:r w:rsidRPr="002E7C6A">
        <w:rPr>
          <w:rFonts w:eastAsia="바탕체"/>
          <w:b/>
          <w:i/>
          <w:lang w:val="en-US" w:eastAsia="ko-KR"/>
        </w:rPr>
        <w:t xml:space="preserve">Additionally, </w:t>
      </w:r>
      <w:r>
        <w:rPr>
          <w:rFonts w:eastAsia="바탕체"/>
          <w:b/>
          <w:i/>
          <w:lang w:val="en-US" w:eastAsia="ko-KR"/>
        </w:rPr>
        <w:t>d</w:t>
      </w:r>
      <w:r w:rsidR="009E1026" w:rsidRPr="002E7C6A">
        <w:rPr>
          <w:rFonts w:eastAsia="바탕체"/>
          <w:b/>
          <w:i/>
          <w:lang w:val="en-US" w:eastAsia="ko-KR"/>
        </w:rPr>
        <w:t xml:space="preserve">iscuss </w:t>
      </w:r>
      <w:r w:rsidRPr="002E7C6A">
        <w:rPr>
          <w:rFonts w:eastAsia="바탕체"/>
          <w:b/>
          <w:i/>
          <w:lang w:val="en-US" w:eastAsia="ko-KR"/>
        </w:rPr>
        <w:t xml:space="preserve">L1 </w:t>
      </w:r>
      <w:r w:rsidR="009E1026" w:rsidRPr="002E7C6A">
        <w:rPr>
          <w:rFonts w:eastAsia="바탕체"/>
          <w:b/>
          <w:i/>
          <w:lang w:val="en-US" w:eastAsia="ko-KR"/>
        </w:rPr>
        <w:t xml:space="preserve">features </w:t>
      </w:r>
      <w:r w:rsidRPr="002E7C6A">
        <w:rPr>
          <w:rFonts w:eastAsia="바탕체"/>
          <w:b/>
          <w:i/>
          <w:lang w:val="en-US" w:eastAsia="ko-KR"/>
        </w:rPr>
        <w:t>supported for NCR-MT among the L1 features of Rel-15/16/17.</w:t>
      </w:r>
    </w:p>
    <w:p w14:paraId="3C666C6A" w14:textId="77777777" w:rsidR="00B7449F" w:rsidRPr="00A745E8" w:rsidRDefault="00B7449F" w:rsidP="00D51D51">
      <w:pPr>
        <w:rPr>
          <w:lang w:val="en-US" w:eastAsia="ko-KR"/>
        </w:rPr>
      </w:pPr>
    </w:p>
    <w:p w14:paraId="38B9535B" w14:textId="77777777" w:rsidR="0017469A" w:rsidRPr="002E7C6A" w:rsidRDefault="00E74F76" w:rsidP="0017469A">
      <w:pPr>
        <w:pStyle w:val="1"/>
      </w:pPr>
      <w:r w:rsidRPr="002E7C6A">
        <w:t>Summary</w:t>
      </w:r>
    </w:p>
    <w:p w14:paraId="15648F79" w14:textId="0221C012" w:rsidR="00344308" w:rsidRDefault="00EC6E39" w:rsidP="00344308">
      <w:pPr>
        <w:rPr>
          <w:rFonts w:eastAsia="바탕체"/>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t>
      </w:r>
      <w:r w:rsidR="00CF5A0B">
        <w:rPr>
          <w:lang w:val="en-US" w:eastAsia="ko-KR"/>
        </w:rPr>
        <w:t xml:space="preserve">we </w:t>
      </w:r>
      <w:r w:rsidR="00CF5A0B">
        <w:rPr>
          <w:rFonts w:hint="eastAsia"/>
          <w:lang w:val="en-US" w:eastAsia="ko-KR"/>
        </w:rPr>
        <w:t xml:space="preserve">discuss </w:t>
      </w:r>
      <w:r w:rsidR="006568F8">
        <w:rPr>
          <w:lang w:eastAsia="ko-KR"/>
        </w:rPr>
        <w:t>o</w:t>
      </w:r>
      <w:r w:rsidR="006568F8" w:rsidRPr="007D56AF">
        <w:rPr>
          <w:lang w:eastAsia="ko-KR"/>
        </w:rPr>
        <w:t>ther aspects</w:t>
      </w:r>
      <w:r w:rsidR="006568F8">
        <w:rPr>
          <w:lang w:eastAsia="ko-KR"/>
        </w:rPr>
        <w:t xml:space="preserve"> for NCR</w:t>
      </w:r>
      <w:r w:rsidR="006568F8" w:rsidRPr="007D56AF">
        <w:rPr>
          <w:lang w:eastAsia="ko-KR"/>
        </w:rPr>
        <w:t xml:space="preserve"> </w:t>
      </w:r>
      <w:r w:rsidR="006568F8">
        <w:rPr>
          <w:lang w:eastAsia="ko-KR"/>
        </w:rPr>
        <w:t>and obtained following proposal.</w:t>
      </w:r>
    </w:p>
    <w:p w14:paraId="3EDEC449" w14:textId="0E2443B1" w:rsidR="00CF5A0B" w:rsidRDefault="00CF5A0B" w:rsidP="00CF5A0B">
      <w:pPr>
        <w:rPr>
          <w:rFonts w:eastAsia="바탕체"/>
          <w:b/>
          <w:i/>
          <w:lang w:val="en-US" w:eastAsia="ko-KR"/>
        </w:rPr>
      </w:pPr>
    </w:p>
    <w:p w14:paraId="2B432AFB" w14:textId="77777777" w:rsidR="002E7C6A" w:rsidRDefault="002E7C6A" w:rsidP="002E7C6A">
      <w:pPr>
        <w:rPr>
          <w:rFonts w:eastAsia="바탕체"/>
          <w:b/>
          <w:i/>
          <w:lang w:val="en-US" w:eastAsia="ko-KR"/>
        </w:rPr>
      </w:pPr>
      <w:r w:rsidRPr="00ED11DF">
        <w:rPr>
          <w:rFonts w:eastAsia="바탕체" w:hint="eastAsia"/>
          <w:b/>
          <w:i/>
          <w:lang w:val="en-US" w:eastAsia="ko-KR"/>
        </w:rPr>
        <w:t xml:space="preserve">Proposal </w:t>
      </w:r>
      <w:r w:rsidRPr="00ED11DF">
        <w:rPr>
          <w:rFonts w:eastAsia="바탕체"/>
          <w:b/>
          <w:i/>
          <w:lang w:val="en-US" w:eastAsia="ko-KR"/>
        </w:rPr>
        <w:t xml:space="preserve">1: </w:t>
      </w:r>
      <w:r>
        <w:rPr>
          <w:rFonts w:eastAsia="바탕체"/>
          <w:b/>
          <w:i/>
          <w:lang w:val="en-US" w:eastAsia="ko-KR"/>
        </w:rPr>
        <w:t>For L1 features supported for NCR-MT,</w:t>
      </w:r>
    </w:p>
    <w:p w14:paraId="4AD4B820" w14:textId="77777777" w:rsidR="002E7C6A" w:rsidRDefault="002E7C6A" w:rsidP="002E7C6A">
      <w:pPr>
        <w:pStyle w:val="ac"/>
        <w:numPr>
          <w:ilvl w:val="0"/>
          <w:numId w:val="30"/>
        </w:numPr>
        <w:ind w:leftChars="0"/>
        <w:rPr>
          <w:rFonts w:eastAsia="바탕체"/>
          <w:b/>
          <w:i/>
          <w:lang w:val="en-US" w:eastAsia="ko-KR"/>
        </w:rPr>
      </w:pPr>
      <w:r w:rsidRPr="002E7C6A">
        <w:rPr>
          <w:rFonts w:eastAsia="바탕체"/>
          <w:b/>
          <w:i/>
          <w:lang w:val="en-US" w:eastAsia="ko-KR"/>
        </w:rPr>
        <w:t xml:space="preserve">As baseline, consider </w:t>
      </w:r>
      <w:r w:rsidRPr="002E7C6A">
        <w:rPr>
          <w:rFonts w:eastAsia="바탕체" w:hint="eastAsia"/>
          <w:b/>
          <w:i/>
          <w:lang w:val="en-US" w:eastAsia="ko-KR"/>
        </w:rPr>
        <w:t>L1</w:t>
      </w:r>
      <w:r w:rsidRPr="002E7C6A">
        <w:rPr>
          <w:rFonts w:eastAsia="바탕체"/>
          <w:b/>
          <w:i/>
          <w:lang w:val="en-US" w:eastAsia="ko-KR"/>
        </w:rPr>
        <w:t xml:space="preserve"> mandatory </w:t>
      </w:r>
      <w:r w:rsidRPr="002E7C6A">
        <w:rPr>
          <w:rFonts w:eastAsia="바탕체" w:hint="eastAsia"/>
          <w:b/>
          <w:i/>
          <w:lang w:val="en-US" w:eastAsia="ko-KR"/>
        </w:rPr>
        <w:t>feature</w:t>
      </w:r>
      <w:r w:rsidRPr="002E7C6A">
        <w:rPr>
          <w:rFonts w:eastAsia="바탕체"/>
          <w:b/>
          <w:i/>
          <w:lang w:val="en-US" w:eastAsia="ko-KR"/>
        </w:rPr>
        <w:t xml:space="preserve">s for IAB-MT in Table 4.2.15.1-1 of TS38.306 as mandatory features for IAB-MT. </w:t>
      </w:r>
    </w:p>
    <w:p w14:paraId="5DA86E67" w14:textId="77777777" w:rsidR="002E7C6A" w:rsidRPr="002E7C6A" w:rsidRDefault="002E7C6A" w:rsidP="002E7C6A">
      <w:pPr>
        <w:pStyle w:val="ac"/>
        <w:numPr>
          <w:ilvl w:val="0"/>
          <w:numId w:val="30"/>
        </w:numPr>
        <w:ind w:leftChars="0"/>
        <w:rPr>
          <w:rFonts w:eastAsia="바탕체"/>
          <w:b/>
          <w:i/>
          <w:lang w:val="en-US" w:eastAsia="ko-KR"/>
        </w:rPr>
      </w:pPr>
      <w:r w:rsidRPr="002E7C6A">
        <w:rPr>
          <w:rFonts w:eastAsia="바탕체"/>
          <w:b/>
          <w:i/>
          <w:lang w:val="en-US" w:eastAsia="ko-KR"/>
        </w:rPr>
        <w:t xml:space="preserve">Additionally, </w:t>
      </w:r>
      <w:r>
        <w:rPr>
          <w:rFonts w:eastAsia="바탕체"/>
          <w:b/>
          <w:i/>
          <w:lang w:val="en-US" w:eastAsia="ko-KR"/>
        </w:rPr>
        <w:t>d</w:t>
      </w:r>
      <w:r w:rsidRPr="002E7C6A">
        <w:rPr>
          <w:rFonts w:eastAsia="바탕체"/>
          <w:b/>
          <w:i/>
          <w:lang w:val="en-US" w:eastAsia="ko-KR"/>
        </w:rPr>
        <w:t>iscuss L1 features supported for NCR-MT among the L1 features of Rel-15/16/17.</w:t>
      </w:r>
    </w:p>
    <w:p w14:paraId="520527DB" w14:textId="77777777" w:rsidR="00CF5A0B" w:rsidRPr="00CF5A0B" w:rsidRDefault="00CF5A0B" w:rsidP="00965BFD">
      <w:pPr>
        <w:rPr>
          <w:b/>
          <w:i/>
          <w:lang w:val="en-US" w:eastAsia="ko-KR"/>
        </w:rPr>
      </w:pPr>
    </w:p>
    <w:p w14:paraId="432F0038" w14:textId="77777777" w:rsidR="003C360B" w:rsidRPr="00CF5A0B" w:rsidRDefault="003C360B" w:rsidP="003C360B">
      <w:pPr>
        <w:pStyle w:val="1"/>
      </w:pPr>
      <w:r w:rsidRPr="00CF5A0B">
        <w:t>Reference</w:t>
      </w:r>
    </w:p>
    <w:p w14:paraId="7EEEF22C" w14:textId="115B8567" w:rsidR="00071AA2" w:rsidRPr="000D3644"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sidRPr="00B7449F">
        <w:rPr>
          <w:kern w:val="2"/>
          <w:lang w:eastAsia="ko-KR"/>
        </w:rPr>
        <w:t xml:space="preserve">ZTE Corporation, “New </w:t>
      </w:r>
      <w:r w:rsidR="00B7449F" w:rsidRPr="00B7449F">
        <w:rPr>
          <w:kern w:val="2"/>
          <w:lang w:eastAsia="ko-KR"/>
        </w:rPr>
        <w:t xml:space="preserve">WID on </w:t>
      </w:r>
      <w:r w:rsidRPr="00B7449F">
        <w:rPr>
          <w:kern w:val="2"/>
          <w:lang w:eastAsia="ko-KR"/>
        </w:rPr>
        <w:t xml:space="preserve">NR </w:t>
      </w:r>
      <w:r w:rsidR="00B7449F" w:rsidRPr="00B7449F">
        <w:rPr>
          <w:kern w:val="2"/>
          <w:lang w:eastAsia="ko-KR"/>
        </w:rPr>
        <w:t>n</w:t>
      </w:r>
      <w:r w:rsidRPr="00B7449F">
        <w:rPr>
          <w:kern w:val="2"/>
          <w:lang w:eastAsia="ko-KR"/>
        </w:rPr>
        <w:t xml:space="preserve">etwork-controlled </w:t>
      </w:r>
      <w:r w:rsidR="00B7449F" w:rsidRPr="00B7449F">
        <w:rPr>
          <w:kern w:val="2"/>
          <w:lang w:eastAsia="ko-KR"/>
        </w:rPr>
        <w:t>r</w:t>
      </w:r>
      <w:r w:rsidRPr="00B7449F">
        <w:rPr>
          <w:kern w:val="2"/>
          <w:lang w:eastAsia="ko-KR"/>
        </w:rPr>
        <w:t>epeaters,” RP-2</w:t>
      </w:r>
      <w:r w:rsidR="00B7449F" w:rsidRPr="00B7449F">
        <w:rPr>
          <w:kern w:val="2"/>
          <w:lang w:eastAsia="ko-KR"/>
        </w:rPr>
        <w:t>22673</w:t>
      </w:r>
      <w:r w:rsidRPr="00B7449F">
        <w:rPr>
          <w:kern w:val="2"/>
          <w:lang w:eastAsia="ko-KR"/>
        </w:rPr>
        <w:t xml:space="preserve">, e-Meeting, </w:t>
      </w:r>
      <w:r w:rsidR="00B7449F" w:rsidRPr="00B7449F">
        <w:rPr>
          <w:kern w:val="2"/>
          <w:lang w:eastAsia="ko-KR"/>
        </w:rPr>
        <w:t>September</w:t>
      </w:r>
      <w:r w:rsidRPr="00B7449F">
        <w:rPr>
          <w:kern w:val="2"/>
          <w:lang w:eastAsia="ko-KR"/>
        </w:rPr>
        <w:t xml:space="preserve"> </w:t>
      </w:r>
      <w:r w:rsidR="00B7449F" w:rsidRPr="00B7449F">
        <w:rPr>
          <w:kern w:val="2"/>
          <w:lang w:eastAsia="ko-KR"/>
        </w:rPr>
        <w:t>12</w:t>
      </w:r>
      <w:r w:rsidRPr="00B7449F">
        <w:rPr>
          <w:kern w:val="2"/>
          <w:lang w:eastAsia="ko-KR"/>
        </w:rPr>
        <w:t xml:space="preserve"> – 1</w:t>
      </w:r>
      <w:r w:rsidR="00B7449F" w:rsidRPr="00B7449F">
        <w:rPr>
          <w:kern w:val="2"/>
          <w:lang w:eastAsia="ko-KR"/>
        </w:rPr>
        <w:t>6</w:t>
      </w:r>
      <w:r w:rsidRPr="00B7449F">
        <w:rPr>
          <w:kern w:val="2"/>
          <w:lang w:eastAsia="ko-KR"/>
        </w:rPr>
        <w:t>, 202</w:t>
      </w:r>
      <w:r w:rsidR="00B7449F" w:rsidRPr="00B7449F">
        <w:rPr>
          <w:kern w:val="2"/>
          <w:lang w:eastAsia="ko-KR"/>
        </w:rPr>
        <w:t>2</w:t>
      </w:r>
    </w:p>
    <w:p w14:paraId="0F41C8EA" w14:textId="2C0425AA" w:rsidR="000D3644" w:rsidRPr="002E7C6A" w:rsidRDefault="002E7C6A"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3GPP TR </w:t>
      </w:r>
      <w:r w:rsidR="000D3644" w:rsidRPr="002E7C6A">
        <w:rPr>
          <w:kern w:val="2"/>
          <w:lang w:eastAsia="ko-KR"/>
        </w:rPr>
        <w:t>38.867</w:t>
      </w:r>
      <w:r>
        <w:rPr>
          <w:kern w:val="2"/>
          <w:lang w:eastAsia="ko-KR"/>
        </w:rPr>
        <w:t xml:space="preserve"> V 18.0.0</w:t>
      </w:r>
    </w:p>
    <w:sectPr w:rsidR="000D3644" w:rsidRPr="002E7C6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77D45" w14:textId="77777777" w:rsidR="00BB42F3" w:rsidRDefault="00BB42F3">
      <w:pPr>
        <w:spacing w:after="0"/>
      </w:pPr>
      <w:r>
        <w:separator/>
      </w:r>
    </w:p>
  </w:endnote>
  <w:endnote w:type="continuationSeparator" w:id="0">
    <w:p w14:paraId="25A5DA16" w14:textId="77777777" w:rsidR="00BB42F3" w:rsidRDefault="00BB4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1829163" w:rsidR="002A733A" w:rsidRDefault="002A733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2553F">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2553F">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08CBB" w14:textId="77777777" w:rsidR="00BB42F3" w:rsidRDefault="00BB42F3">
      <w:pPr>
        <w:spacing w:after="0"/>
      </w:pPr>
      <w:r>
        <w:separator/>
      </w:r>
    </w:p>
  </w:footnote>
  <w:footnote w:type="continuationSeparator" w:id="0">
    <w:p w14:paraId="09C9BB4B" w14:textId="77777777" w:rsidR="00BB42F3" w:rsidRDefault="00BB42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A733A" w:rsidRDefault="002A733A">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B883723"/>
    <w:multiLevelType w:val="hybridMultilevel"/>
    <w:tmpl w:val="E9DAE336"/>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9"/>
  </w:num>
  <w:num w:numId="8">
    <w:abstractNumId w:val="19"/>
  </w:num>
  <w:num w:numId="9">
    <w:abstractNumId w:val="26"/>
  </w:num>
  <w:num w:numId="10">
    <w:abstractNumId w:val="13"/>
    <w:lvlOverride w:ilvl="0">
      <w:startOverride w:val="1"/>
    </w:lvlOverride>
  </w:num>
  <w:num w:numId="11">
    <w:abstractNumId w:val="2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num>
  <w:num w:numId="19">
    <w:abstractNumId w:val="27"/>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2"/>
  </w:num>
  <w:num w:numId="23">
    <w:abstractNumId w:val="11"/>
  </w:num>
  <w:num w:numId="24">
    <w:abstractNumId w:val="7"/>
  </w:num>
  <w:num w:numId="25">
    <w:abstractNumId w:val="14"/>
  </w:num>
  <w:num w:numId="26">
    <w:abstractNumId w:val="28"/>
  </w:num>
  <w:num w:numId="27">
    <w:abstractNumId w:val="6"/>
  </w:num>
  <w:num w:numId="28">
    <w:abstractNumId w:val="24"/>
  </w:num>
  <w:num w:numId="29">
    <w:abstractNumId w:val="10"/>
  </w:num>
  <w:num w:numId="3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418"/>
    <w:rsid w:val="00045BB9"/>
    <w:rsid w:val="000462FA"/>
    <w:rsid w:val="000466CA"/>
    <w:rsid w:val="0004703A"/>
    <w:rsid w:val="0004704C"/>
    <w:rsid w:val="000471EF"/>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F7"/>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3D8D"/>
    <w:rsid w:val="002C48A0"/>
    <w:rsid w:val="002C4A16"/>
    <w:rsid w:val="002C4BF7"/>
    <w:rsid w:val="002C534E"/>
    <w:rsid w:val="002C5F65"/>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C6A"/>
    <w:rsid w:val="002E7E14"/>
    <w:rsid w:val="002F0100"/>
    <w:rsid w:val="002F08CE"/>
    <w:rsid w:val="002F0B69"/>
    <w:rsid w:val="002F0D16"/>
    <w:rsid w:val="002F19A4"/>
    <w:rsid w:val="002F2108"/>
    <w:rsid w:val="002F278A"/>
    <w:rsid w:val="002F27CA"/>
    <w:rsid w:val="002F301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16FA"/>
    <w:rsid w:val="003B1BA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21C"/>
    <w:rsid w:val="003C0A91"/>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119B"/>
    <w:rsid w:val="00571296"/>
    <w:rsid w:val="00571362"/>
    <w:rsid w:val="00571E1F"/>
    <w:rsid w:val="00572037"/>
    <w:rsid w:val="00572268"/>
    <w:rsid w:val="0057258A"/>
    <w:rsid w:val="0057279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A5B"/>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FFB"/>
    <w:rsid w:val="006560D2"/>
    <w:rsid w:val="00656310"/>
    <w:rsid w:val="006563C2"/>
    <w:rsid w:val="006564D1"/>
    <w:rsid w:val="006564F7"/>
    <w:rsid w:val="006567E2"/>
    <w:rsid w:val="006568F8"/>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1F8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D05"/>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1A8"/>
    <w:rsid w:val="0080088C"/>
    <w:rsid w:val="00800A1C"/>
    <w:rsid w:val="00800D97"/>
    <w:rsid w:val="008013E0"/>
    <w:rsid w:val="00801840"/>
    <w:rsid w:val="00801E49"/>
    <w:rsid w:val="00803974"/>
    <w:rsid w:val="00803B8D"/>
    <w:rsid w:val="00803C9D"/>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026"/>
    <w:rsid w:val="009E13DE"/>
    <w:rsid w:val="009E163B"/>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2C1"/>
    <w:rsid w:val="00A22C4B"/>
    <w:rsid w:val="00A22F70"/>
    <w:rsid w:val="00A23D08"/>
    <w:rsid w:val="00A24233"/>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42F3"/>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53F"/>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4E93"/>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A80"/>
    <w:rsid w:val="00DA4B9E"/>
    <w:rsid w:val="00DA4F4D"/>
    <w:rsid w:val="00DA5650"/>
    <w:rsid w:val="00DA5CBD"/>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1B5"/>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9A221-F1D5-4943-B24A-4A53A4F1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4677</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2022-04-28T11:25:00Z</cp:lastPrinted>
  <dcterms:created xsi:type="dcterms:W3CDTF">2022-09-30T16:22:00Z</dcterms:created>
  <dcterms:modified xsi:type="dcterms:W3CDTF">2022-09-30T16:22:00Z</dcterms:modified>
</cp:coreProperties>
</file>